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jc w:val="center"/>
      </w:pPr>
      <w:r>
        <w:rPr>
          <w:b/>
          <w:bCs/>
        </w:rPr>
        <w:t>Canary Technical Companion Guide</w:t>
      </w:r>
    </w:p>
    <w:p>
      <w:pPr>
        <w:pStyle w:val="Title"/>
        <w:jc w:val="center"/>
      </w:pPr>
      <w:r>
        <w:t>Version 1.0 — February 2026</w:t>
      </w:r>
    </w:p>
    <w:p>
      <w:pPr>
        <w:pStyle w:val="Title"/>
        <w:jc w:val="center"/>
      </w:pPr>
      <w:r>
        <w:t>Canary Early Warning LP</w:t>
      </w:r>
    </w:p>
    <w:p>
      <w:pPr>
        <w:pStyle w:val="Title"/>
        <w:jc w:val="center"/>
      </w:pPr>
      <w:r>
        <w:t>CONFIDENTIAL</w:t>
      </w:r>
    </w:p>
    <w:p>
      <w:pPr>
        <w:pageBreakBefore/>
      </w:pPr>
    </w:p>
    <w:p>
      <w:pPr>
        <w:pStyle w:val="Heading1"/>
      </w:pPr>
      <w:r>
        <w:t>1. Architecture Overview</w:t>
      </w:r>
    </w:p>
    <w:p>
      <w:pPr>
        <w:pStyle w:val="Normal"/>
      </w:pPr>
      <w:r>
        <w:rPr>
          <w:rFonts w:ascii="Calibri" w:hAnsi="Calibri"/>
          <w:sz w:val="22"/>
          <w:color w:val="333333"/>
        </w:rPr>
        <w:t>Canary is a server-rendered web application built on Python/Flask with HTMX for dynamic interactions, Tailwind CSS for styling, and Alpine.js for lightweight client-side state. The architecture deliberately avoids single-page application frameworks in favor of server-rendered HTML fragments delivered over HTMX requests.</w:t>
      </w:r>
    </w:p>
    <w:p>
      <w:pPr>
        <w:pStyle w:val="Normal"/>
      </w:pPr>
      <w:r>
        <w:rPr>
          <w:rFonts w:ascii="Calibri" w:hAnsi="Calibri"/>
          <w:sz w:val="22"/>
          <w:color w:val="333333"/>
        </w:rPr>
        <w:t>This is not a simplification — it is a deliberate architectural choice that eliminates an entire class of frontend complexity. There is no client-side routing, no state management library, no build pipeline for JavaScript bundles. The server renders HTML, HTMX swaps it into the DOM, and Alpine.js handles the small amount of client-side interactivity that remains.</w:t>
      </w:r>
    </w:p>
    <w:p>
      <w:pPr>
        <w:pStyle w:val="Heading2"/>
      </w:pPr>
      <w:r>
        <w:t>Technology Stack</w:t>
      </w:r>
    </w:p>
    <w:p>
      <w:pPr>
        <w:pStyle w:val="ListBullet"/>
        <w:numPr>
          <w:ilvl w:val="0"/>
          <w:numId w:val="2"/>
        </w:numPr>
      </w:pPr>
      <w:r>
        <w:rPr>
          <w:rFonts w:ascii="Calibri" w:hAnsi="Calibri"/>
          <w:sz w:val="22"/>
          <w:color w:val="333333"/>
        </w:rPr>
        <w:t>Backend: Python 3.11+ / Flask with Blueprints</w:t>
      </w:r>
    </w:p>
    <w:p>
      <w:pPr>
        <w:pStyle w:val="ListBullet"/>
        <w:numPr>
          <w:ilvl w:val="0"/>
          <w:numId w:val="2"/>
        </w:numPr>
      </w:pPr>
      <w:r>
        <w:rPr>
          <w:rFonts w:ascii="Calibri" w:hAnsi="Calibri"/>
          <w:sz w:val="22"/>
          <w:color w:val="333333"/>
        </w:rPr>
        <w:t>Frontend: HTMX 1.9+ / Tailwind CSS 3.x / Alpine.js 3.x</w:t>
      </w:r>
    </w:p>
    <w:p>
      <w:pPr>
        <w:pStyle w:val="ListBullet"/>
        <w:numPr>
          <w:ilvl w:val="0"/>
          <w:numId w:val="2"/>
        </w:numPr>
      </w:pPr>
      <w:r>
        <w:rPr>
          <w:rFonts w:ascii="Calibri" w:hAnsi="Calibri"/>
          <w:sz w:val="22"/>
          <w:color w:val="333333"/>
        </w:rPr>
        <w:t>Database: PostgreSQL 15+ (three-database architecture)</w:t>
      </w:r>
    </w:p>
    <w:p>
      <w:pPr>
        <w:pStyle w:val="ListBullet"/>
        <w:numPr>
          <w:ilvl w:val="0"/>
          <w:numId w:val="2"/>
        </w:numPr>
      </w:pPr>
      <w:r>
        <w:rPr>
          <w:rFonts w:ascii="Calibri" w:hAnsi="Calibri"/>
          <w:sz w:val="22"/>
          <w:color w:val="333333"/>
        </w:rPr>
        <w:t>Cache: Valkey 8.x (Redis-compatible, BSD-3 licensed)</w:t>
      </w:r>
    </w:p>
    <w:p>
      <w:pPr>
        <w:pStyle w:val="ListBullet"/>
        <w:numPr>
          <w:ilvl w:val="0"/>
          <w:numId w:val="2"/>
        </w:numPr>
      </w:pPr>
      <w:r>
        <w:rPr>
          <w:rFonts w:ascii="Calibri" w:hAnsi="Calibri"/>
          <w:sz w:val="22"/>
          <w:color w:val="333333"/>
        </w:rPr>
        <w:t>Task Queue: Celery with Valkey broker</w:t>
      </w:r>
    </w:p>
    <w:p>
      <w:pPr>
        <w:pStyle w:val="ListBullet"/>
        <w:numPr>
          <w:ilvl w:val="0"/>
          <w:numId w:val="2"/>
        </w:numPr>
      </w:pPr>
      <w:r>
        <w:rPr>
          <w:rFonts w:ascii="Calibri" w:hAnsi="Calibri"/>
          <w:sz w:val="22"/>
          <w:color w:val="333333"/>
        </w:rPr>
        <w:t>Authentication: LNURL-auth (Lightning Network native)</w:t>
      </w:r>
    </w:p>
    <w:p>
      <w:pPr>
        <w:pStyle w:val="ListBullet"/>
        <w:numPr>
          <w:ilvl w:val="0"/>
          <w:numId w:val="2"/>
        </w:numPr>
      </w:pPr>
      <w:r>
        <w:rPr>
          <w:rFonts w:ascii="Calibri" w:hAnsi="Calibri"/>
          <w:sz w:val="22"/>
          <w:color w:val="333333"/>
        </w:rPr>
        <w:t>Payments: Lightning Network L402 micropayments</w:t>
      </w:r>
    </w:p>
    <w:p>
      <w:pPr>
        <w:pStyle w:val="ListBullet"/>
        <w:numPr>
          <w:ilvl w:val="0"/>
          <w:numId w:val="2"/>
        </w:numPr>
      </w:pPr>
      <w:r>
        <w:rPr>
          <w:rFonts w:ascii="Calibri" w:hAnsi="Calibri"/>
          <w:sz w:val="22"/>
          <w:color w:val="333333"/>
        </w:rPr>
        <w:t>Deployment: Docker Compose (development), target production on bare metal</w:t>
      </w:r>
    </w:p>
    <w:p>
      <w:pPr>
        <w:pStyle w:val="Heading2"/>
      </w:pPr>
      <w:r>
        <w:t>Request Flow</w:t>
      </w:r>
    </w:p>
    <w:p>
      <w:pPr>
        <w:pStyle w:val="Normal"/>
      </w:pPr>
      <w:r>
        <w:rPr>
          <w:rFonts w:ascii="Calibri" w:hAnsi="Calibri"/>
          <w:sz w:val="22"/>
          <w:color w:val="333333"/>
        </w:rPr>
        <w:t>Every user interaction follows a consistent pattern. The browser sends an HTMX request (typically hx-get or hx-post) to a Flask route. The route handler queries PostgreSQL, applies business logic, renders a Jinja2 template fragment, and returns HTML. HTMX swaps the response into the target DOM element. No JSON APIs, no client-side rendering, no hydration.</w:t>
      </w:r>
    </w:p>
    <w:p>
      <w:pPr>
        <w:pStyle w:val="Normal"/>
      </w:pPr>
      <w:r>
        <w:rPr>
          <w:rFonts w:ascii="Calibri" w:hAnsi="Calibri"/>
          <w:sz w:val="22"/>
          <w:color w:val="333333"/>
        </w:rPr>
        <w:t>This architecture means that every page state is a URL. Every interaction produces a server-rendered result. The browser's back button works. Bookmarks work. The application degrades gracefully without JavaScript for all critical paths.</w:t>
      </w:r>
    </w:p>
    <w:p>
      <w:pPr>
        <w:pStyle w:val="Heading2"/>
      </w:pPr>
      <w:r>
        <w:t>Blueprint Organization</w:t>
      </w:r>
    </w:p>
    <w:p>
      <w:pPr>
        <w:pStyle w:val="Normal"/>
      </w:pPr>
      <w:r>
        <w:rPr>
          <w:rFonts w:ascii="Calibri" w:hAnsi="Calibri"/>
          <w:sz w:val="22"/>
          <w:color w:val="333333"/>
        </w:rPr>
        <w:t>Flask Blueprints map directly to Canary's six animal modules. Each Blueprint owns its routes, templates, and static assets. Cross-module communication happens through shared services, never through direct Blueprint imports.</w:t>
      </w:r>
    </w:p>
    <w:p>
      <w:pPr>
        <w:pStyle w:val="ListBullet"/>
        <w:numPr>
          <w:ilvl w:val="0"/>
          <w:numId w:val="2"/>
        </w:numPr>
      </w:pPr>
      <w:r>
        <w:rPr>
          <w:rFonts w:ascii="Calibri" w:hAnsi="Calibri"/>
          <w:sz w:val="22"/>
          <w:color w:val="333333"/>
        </w:rPr>
        <w:t>canary_bp: Home, Today's View, Chirp management</w:t>
      </w:r>
    </w:p>
    <w:p>
      <w:pPr>
        <w:pStyle w:val="ListBullet"/>
        <w:numPr>
          <w:ilvl w:val="0"/>
          <w:numId w:val="2"/>
        </w:numPr>
      </w:pPr>
      <w:r>
        <w:rPr>
          <w:rFonts w:ascii="Calibri" w:hAnsi="Calibri"/>
          <w:sz w:val="22"/>
          <w:color w:val="333333"/>
        </w:rPr>
        <w:t>owl_bp: Insights, trend analysis, pattern detection</w:t>
      </w:r>
    </w:p>
    <w:p>
      <w:pPr>
        <w:pStyle w:val="ListBullet"/>
        <w:numPr>
          <w:ilvl w:val="0"/>
          <w:numId w:val="2"/>
        </w:numPr>
      </w:pPr>
      <w:r>
        <w:rPr>
          <w:rFonts w:ascii="Calibri" w:hAnsi="Calibri"/>
          <w:sz w:val="22"/>
          <w:color w:val="333333"/>
        </w:rPr>
        <w:t>fox_bp: Investigation, case management, evidence handling</w:t>
      </w:r>
    </w:p>
    <w:p>
      <w:pPr>
        <w:pStyle w:val="ListBullet"/>
        <w:numPr>
          <w:ilvl w:val="0"/>
          <w:numId w:val="2"/>
        </w:numPr>
      </w:pPr>
      <w:r>
        <w:rPr>
          <w:rFonts w:ascii="Calibri" w:hAnsi="Calibri"/>
          <w:sz w:val="22"/>
          <w:color w:val="333333"/>
        </w:rPr>
        <w:t>bull_bp: Inventory management, shrinkage detection</w:t>
      </w:r>
    </w:p>
    <w:p>
      <w:pPr>
        <w:pStyle w:val="ListBullet"/>
        <w:numPr>
          <w:ilvl w:val="0"/>
          <w:numId w:val="2"/>
        </w:numPr>
      </w:pPr>
      <w:r>
        <w:rPr>
          <w:rFonts w:ascii="Calibri" w:hAnsi="Calibri"/>
          <w:sz w:val="22"/>
          <w:color w:val="333333"/>
        </w:rPr>
        <w:t>rooster_bp: Daily operations, checklists, shift management</w:t>
      </w:r>
    </w:p>
    <w:p>
      <w:pPr>
        <w:pStyle w:val="ListBullet"/>
        <w:numPr>
          <w:ilvl w:val="0"/>
          <w:numId w:val="2"/>
        </w:numPr>
      </w:pPr>
      <w:r>
        <w:rPr>
          <w:rFonts w:ascii="Calibri" w:hAnsi="Calibri"/>
          <w:sz w:val="22"/>
          <w:color w:val="333333"/>
        </w:rPr>
        <w:t>goose_bp: Treasury, cash flow, payment reconciliation</w:t>
      </w:r>
    </w:p>
    <w:p>
      <w:pPr>
        <w:pStyle w:val="Heading1"/>
      </w:pPr>
      <w:r>
        <w:t>2. Canonical Retail Data Model</w:t>
      </w:r>
    </w:p>
    <w:p>
      <w:pPr>
        <w:pStyle w:val="Normal"/>
      </w:pPr>
      <w:r>
        <w:rPr>
          <w:rFonts w:ascii="Calibri" w:hAnsi="Calibri"/>
          <w:sz w:val="22"/>
          <w:color w:val="333333"/>
        </w:rPr>
        <w:t>The CRDM is a three-database PostgreSQL architecture that separates concerns by data lifecycle and access pattern. This separation is not merely organizational — it enforces different integrity constraints, retention policies, and access controls at the database level.</w:t>
      </w:r>
    </w:p>
    <w:p>
      <w:pPr>
        <w:pStyle w:val="Heading2"/>
      </w:pPr>
      <w:r>
        <w:t>Database Architecture</w:t>
      </w:r>
    </w:p>
    <w:p>
      <w:pPr>
        <w:pStyle w:val="Heading3"/>
      </w:pPr>
      <w:r>
        <w:t>canary_app</w:t>
      </w:r>
    </w:p>
    <w:p>
      <w:pPr>
        <w:pStyle w:val="Normal"/>
      </w:pPr>
      <w:r>
        <w:rPr>
          <w:rFonts w:ascii="Calibri" w:hAnsi="Calibri"/>
          <w:sz w:val="22"/>
          <w:color w:val="333333"/>
        </w:rPr>
        <w:t>Application state, user management, configuration, and session data. This database handles high-frequency reads and writes for the application layer. It contains merchant profiles, role assignments, module configurations, and UI state.</w:t>
      </w:r>
    </w:p>
    <w:p>
      <w:pPr>
        <w:pStyle w:val="Heading3"/>
      </w:pPr>
      <w:r>
        <w:t>canary_sales</w:t>
      </w:r>
    </w:p>
    <w:p>
      <w:pPr>
        <w:pStyle w:val="Normal"/>
      </w:pPr>
      <w:r>
        <w:rPr>
          <w:rFonts w:ascii="Calibri" w:hAnsi="Calibri"/>
          <w:sz w:val="22"/>
          <w:color w:val="333333"/>
        </w:rPr>
        <w:t>Transaction data ingested from Square, detection results, and investigation records. This is the primary analytical database. All financial tables in canary_sales are append-only — protected by database triggers that prevent UPDATE and DELETE operations on financial records.</w:t>
      </w:r>
    </w:p>
    <w:p>
      <w:pPr>
        <w:pStyle w:val="Heading3"/>
      </w:pPr>
      <w:r>
        <w:t>canary_metrics</w:t>
      </w:r>
    </w:p>
    <w:p>
      <w:pPr>
        <w:pStyle w:val="Normal"/>
      </w:pPr>
      <w:r>
        <w:rPr>
          <w:rFonts w:ascii="Calibri" w:hAnsi="Calibri"/>
          <w:sz w:val="22"/>
          <w:color w:val="333333"/>
        </w:rPr>
        <w:t>Aggregated metrics, scorecard calculations, trend data, and reporting tables. This database is populated by Celery tasks that process raw data from canary_sales into pre-computed analytics. Read-heavy, write-batched.</w:t>
      </w:r>
    </w:p>
    <w:p>
      <w:pPr>
        <w:pStyle w:val="Heading2"/>
      </w:pPr>
      <w:r>
        <w:t>Enterprise Lineage</w:t>
      </w:r>
    </w:p>
    <w:p>
      <w:pPr>
        <w:pStyle w:val="Normal"/>
      </w:pPr>
      <w:r>
        <w:rPr>
          <w:rFonts w:ascii="Calibri" w:hAnsi="Calibri"/>
          <w:sz w:val="22"/>
          <w:color w:val="333333"/>
        </w:rPr>
        <w:t>The CRDM's design traces a direct lineage through enterprise retail data systems. The foundational concepts — canonical data sources, immutable financial records, separated analytical layers — derive from Tesco's Trading Data Store (TDS), which pioneered centralized retail data management at scale. The pattern was further refined by Walmart's SMART system, which added real-time processing and category-level analytics.</w:t>
      </w:r>
    </w:p>
    <w:p>
      <w:pPr>
        <w:pStyle w:val="Normal"/>
      </w:pPr>
      <w:r>
        <w:rPr>
          <w:rFonts w:ascii="Calibri" w:hAnsi="Calibri"/>
          <w:sz w:val="22"/>
          <w:color w:val="333333"/>
        </w:rPr>
        <w:t>Canary adapts these enterprise patterns for the SMB context. Where Tesco operated hundreds of data feeds across thousands of stores, Canary processes a single Square API feed for a single merchant. The architectural principles are identical — canonical schemas, immutable records, separated concerns — but the scale is deliberately constrained.</w:t>
      </w:r>
    </w:p>
    <w:p>
      <w:pPr>
        <w:pStyle w:val="Heading2"/>
      </w:pPr>
      <w:r>
        <w:t>Seven Canonical Data Sources</w:t>
      </w:r>
    </w:p>
    <w:p>
      <w:pPr>
        <w:pStyle w:val="ListBullet"/>
        <w:numPr>
          <w:ilvl w:val="0"/>
          <w:numId w:val="2"/>
        </w:numPr>
      </w:pPr>
      <w:r>
        <w:rPr>
          <w:rFonts w:ascii="Calibri" w:hAnsi="Calibri"/>
          <w:sz w:val="22"/>
          <w:color w:val="333333"/>
        </w:rPr>
        <w:t>Transactions: Sales, refunds, voids, exchanges from Square</w:t>
      </w:r>
    </w:p>
    <w:p>
      <w:pPr>
        <w:pStyle w:val="ListBullet"/>
        <w:numPr>
          <w:ilvl w:val="0"/>
          <w:numId w:val="2"/>
        </w:numPr>
      </w:pPr>
      <w:r>
        <w:rPr>
          <w:rFonts w:ascii="Calibri" w:hAnsi="Calibri"/>
          <w:sz w:val="22"/>
          <w:color w:val="333333"/>
        </w:rPr>
        <w:t>Inventory: Stock levels, adjustments, transfers</w:t>
      </w:r>
    </w:p>
    <w:p>
      <w:pPr>
        <w:pStyle w:val="ListBullet"/>
        <w:numPr>
          <w:ilvl w:val="0"/>
          <w:numId w:val="2"/>
        </w:numPr>
      </w:pPr>
      <w:r>
        <w:rPr>
          <w:rFonts w:ascii="Calibri" w:hAnsi="Calibri"/>
          <w:sz w:val="22"/>
          <w:color w:val="333333"/>
        </w:rPr>
        <w:t>Employees: Profiles, roles, schedules, permissions</w:t>
      </w:r>
    </w:p>
    <w:p>
      <w:pPr>
        <w:pStyle w:val="ListBullet"/>
        <w:numPr>
          <w:ilvl w:val="0"/>
          <w:numId w:val="2"/>
        </w:numPr>
      </w:pPr>
      <w:r>
        <w:rPr>
          <w:rFonts w:ascii="Calibri" w:hAnsi="Calibri"/>
          <w:sz w:val="22"/>
          <w:color w:val="333333"/>
        </w:rPr>
        <w:t>Timecards: Clock-in/out, break tracking, overtime</w:t>
      </w:r>
    </w:p>
    <w:p>
      <w:pPr>
        <w:pStyle w:val="ListBullet"/>
        <w:numPr>
          <w:ilvl w:val="0"/>
          <w:numId w:val="2"/>
        </w:numPr>
      </w:pPr>
      <w:r>
        <w:rPr>
          <w:rFonts w:ascii="Calibri" w:hAnsi="Calibri"/>
          <w:sz w:val="22"/>
          <w:color w:val="333333"/>
        </w:rPr>
        <w:t>Cash Drawers: Open/close events, counts, discrepancies</w:t>
      </w:r>
    </w:p>
    <w:p>
      <w:pPr>
        <w:pStyle w:val="ListBullet"/>
        <w:numPr>
          <w:ilvl w:val="0"/>
          <w:numId w:val="2"/>
        </w:numPr>
      </w:pPr>
      <w:r>
        <w:rPr>
          <w:rFonts w:ascii="Calibri" w:hAnsi="Calibri"/>
          <w:sz w:val="22"/>
          <w:color w:val="333333"/>
        </w:rPr>
        <w:t>Gift Cards: Activations, redemptions, balance checks</w:t>
      </w:r>
    </w:p>
    <w:p>
      <w:pPr>
        <w:pStyle w:val="ListBullet"/>
        <w:numPr>
          <w:ilvl w:val="0"/>
          <w:numId w:val="2"/>
        </w:numPr>
      </w:pPr>
      <w:r>
        <w:rPr>
          <w:rFonts w:ascii="Calibri" w:hAnsi="Calibri"/>
          <w:sz w:val="22"/>
          <w:color w:val="333333"/>
        </w:rPr>
        <w:t>Payments: Tenders, tips, partial payments, split transactions</w:t>
      </w:r>
    </w:p>
    <w:p>
      <w:pPr>
        <w:pStyle w:val="Heading1"/>
      </w:pPr>
      <w:r>
        <w:t>3. Detection Engine</w:t>
      </w:r>
    </w:p>
    <w:p>
      <w:pPr>
        <w:pStyle w:val="Normal"/>
      </w:pPr>
      <w:r>
        <w:rPr>
          <w:rFonts w:ascii="Calibri" w:hAnsi="Calibri"/>
          <w:sz w:val="22"/>
          <w:color w:val="333333"/>
        </w:rPr>
        <w:t>Canary's detection engine applies 22 rules across six risk categories. Each rule is defined in the Chirp Rule Registry — a configuration-driven system that specifies detection logic, thresholds, evidence requirements, and severity scoring.</w:t>
      </w:r>
    </w:p>
    <w:p>
      <w:pPr>
        <w:pStyle w:val="Heading2"/>
      </w:pPr>
      <w:r>
        <w:t>Risk Categories</w:t>
      </w:r>
    </w:p>
    <w:p>
      <w:pPr>
        <w:pStyle w:val="Heading3"/>
      </w:pPr>
      <w:r>
        <w:t>Cash Drawer (Rules CD-01 through CD-04)</w:t>
      </w:r>
    </w:p>
    <w:p>
      <w:pPr>
        <w:pStyle w:val="Normal"/>
      </w:pPr>
      <w:r>
        <w:rPr>
          <w:rFonts w:ascii="Calibri" w:hAnsi="Calibri"/>
          <w:sz w:val="22"/>
          <w:color w:val="333333"/>
        </w:rPr>
        <w:t>Monitors cash drawer operations for discrepancies between expected and actual balances, unusual open/close patterns, and anomalous cash handling sequences. CD-01 detects end-of-day variances exceeding configurable thresholds. CD-02 flags mid-shift drawer opens without corresponding transactions. CD-03 identifies patterns of small discrepancies that suggest systematic skimming. CD-04 monitors drawer assignment changes.</w:t>
      </w:r>
    </w:p>
    <w:p>
      <w:pPr>
        <w:pStyle w:val="Heading3"/>
      </w:pPr>
      <w:r>
        <w:t>Refund (Rules RF-01 through RF-04)</w:t>
      </w:r>
    </w:p>
    <w:p>
      <w:pPr>
        <w:pStyle w:val="Normal"/>
      </w:pPr>
      <w:r>
        <w:rPr>
          <w:rFonts w:ascii="Calibri" w:hAnsi="Calibri"/>
          <w:sz w:val="22"/>
          <w:color w:val="333333"/>
        </w:rPr>
        <w:t>Analyzes refund transactions for patterns indicating abuse. RF-01 flags refund-to-sale ratios exceeding category benchmarks. RF-02 detects no-receipt refunds above threshold amounts. RF-03 identifies employee-specific refund concentrations. RF-04 monitors refund timing patterns, particularly refunds processed immediately after the customer leaves.</w:t>
      </w:r>
    </w:p>
    <w:p>
      <w:pPr>
        <w:pStyle w:val="Heading3"/>
      </w:pPr>
      <w:r>
        <w:t>Timecard (Rules TC-01 through TC-04)</w:t>
      </w:r>
    </w:p>
    <w:p>
      <w:pPr>
        <w:pStyle w:val="Normal"/>
      </w:pPr>
      <w:r>
        <w:rPr>
          <w:rFonts w:ascii="Calibri" w:hAnsi="Calibri"/>
          <w:sz w:val="22"/>
          <w:color w:val="333333"/>
        </w:rPr>
        <w:t>Examines timecard data for irregularities. TC-01 detects buddy punching through geolocation and device fingerprinting. TC-02 flags overtime patterns that deviate from schedule. TC-03 identifies ghost employee indicators. TC-04 monitors break compliance and meal period violations.</w:t>
      </w:r>
    </w:p>
    <w:p>
      <w:pPr>
        <w:pStyle w:val="Heading3"/>
      </w:pPr>
      <w:r>
        <w:t>Void (Rules VD-01 through VD-04)</w:t>
      </w:r>
    </w:p>
    <w:p>
      <w:pPr>
        <w:pStyle w:val="Normal"/>
      </w:pPr>
      <w:r>
        <w:rPr>
          <w:rFonts w:ascii="Calibri" w:hAnsi="Calibri"/>
          <w:sz w:val="22"/>
          <w:color w:val="333333"/>
        </w:rPr>
        <w:t>Monitors void transactions for abuse patterns. VD-01 flags void-to-sale ratios exceeding norms. VD-02 detects post-tender voids, which are the highest-risk void type. VD-03 identifies manager-override void concentrations. VD-04 monitors void timing relative to shift changes.</w:t>
      </w:r>
    </w:p>
    <w:p>
      <w:pPr>
        <w:pStyle w:val="Heading3"/>
      </w:pPr>
      <w:r>
        <w:t>Inventory (Rules INV-01 through INV-03)</w:t>
      </w:r>
    </w:p>
    <w:p>
      <w:pPr>
        <w:pStyle w:val="Normal"/>
      </w:pPr>
      <w:r>
        <w:rPr>
          <w:rFonts w:ascii="Calibri" w:hAnsi="Calibri"/>
          <w:sz w:val="22"/>
          <w:color w:val="333333"/>
        </w:rPr>
        <w:t>Tracks inventory discrepancies between Square's records and physical counts. INV-01 detects shrinkage rates exceeding category benchmarks. INV-02 flags receiving discrepancies. INV-03 identifies high-value item movement anomalies.</w:t>
      </w:r>
    </w:p>
    <w:p>
      <w:pPr>
        <w:pStyle w:val="Heading3"/>
      </w:pPr>
      <w:r>
        <w:t>Gift Card (Rules GC-01 through GC-03)</w:t>
      </w:r>
    </w:p>
    <w:p>
      <w:pPr>
        <w:pStyle w:val="Normal"/>
      </w:pPr>
      <w:r>
        <w:rPr>
          <w:rFonts w:ascii="Calibri" w:hAnsi="Calibri"/>
          <w:sz w:val="22"/>
          <w:color w:val="333333"/>
        </w:rPr>
        <w:t>Monitors gift card operations for fraud indicators. GC-01 detects unusual activation patterns. GC-02 flags rapid redemption sequences. GC-03 identifies balance inquiry patterns that suggest card testing.</w:t>
      </w:r>
    </w:p>
    <w:p>
      <w:pPr>
        <w:pStyle w:val="Heading2"/>
      </w:pPr>
      <w:r>
        <w:t>Rule Configuration</w:t>
      </w:r>
    </w:p>
    <w:p>
      <w:pPr>
        <w:pStyle w:val="Normal"/>
      </w:pPr>
      <w:r>
        <w:rPr>
          <w:rFonts w:ascii="Calibri" w:hAnsi="Calibri"/>
          <w:sz w:val="22"/>
          <w:color w:val="333333"/>
        </w:rPr>
        <w:t>Each rule in the Chirp Rule Registry specifies: detection SQL or logic, configurable thresholds with merchant-adjustable ranges, evidence collection requirements, severity scoring formula, and the wizard template that handles resolution. Rules are versioned and auditable — changes to detection logic are tracked with the same immutability guarantees as financial data.</w:t>
      </w:r>
    </w:p>
    <w:p>
      <w:pPr>
        <w:pStyle w:val="Heading1"/>
      </w:pPr>
      <w:r>
        <w:t>4. Guided Wizard Engine</w:t>
      </w:r>
    </w:p>
    <w:p>
      <w:pPr>
        <w:pStyle w:val="Normal"/>
      </w:pPr>
      <w:r>
        <w:rPr>
          <w:rFonts w:ascii="Calibri" w:hAnsi="Calibri"/>
          <w:sz w:val="22"/>
          <w:color w:val="333333"/>
        </w:rPr>
        <w:t>The wizard engine is the core interaction layer of the Guided Operations Companion. Every Chirp resolution, every operational process, and every formal investigation flows through a wizard — a sequenced, branching workflow that guides the merchant from alert to resolution.</w:t>
      </w:r>
    </w:p>
    <w:p>
      <w:pPr>
        <w:pStyle w:val="Heading2"/>
      </w:pPr>
      <w:r>
        <w:t>Wizard Architecture</w:t>
      </w:r>
    </w:p>
    <w:p>
      <w:pPr>
        <w:pStyle w:val="Normal"/>
      </w:pPr>
      <w:r>
        <w:rPr>
          <w:rFonts w:ascii="Calibri" w:hAnsi="Calibri"/>
          <w:sz w:val="22"/>
          <w:color w:val="333333"/>
        </w:rPr>
        <w:t>Each wizard is defined as a directed acyclic graph (DAG) of steps. Each step specifies: the information to display, the input to collect, validation rules, branching logic based on merchant responses, and the evidence to record. The engine renders one step at a time via HTMX, collecting merchant input and advancing through the graph.</w:t>
      </w:r>
    </w:p>
    <w:p>
      <w:pPr>
        <w:pStyle w:val="Normal"/>
      </w:pPr>
      <w:r>
        <w:rPr>
          <w:rFonts w:ascii="Calibri" w:hAnsi="Calibri"/>
          <w:sz w:val="22"/>
          <w:color w:val="333333"/>
        </w:rPr>
        <w:t>Wizard state is persisted server-side in canary_app. If the merchant closes their browser mid-wizard, they resume exactly where they left off. No data is lost. No steps need to be repeated.</w:t>
      </w:r>
    </w:p>
    <w:p>
      <w:pPr>
        <w:pStyle w:val="Heading2"/>
      </w:pPr>
      <w:r>
        <w:t>Wizard Templates</w:t>
      </w:r>
    </w:p>
    <w:p>
      <w:pPr>
        <w:pStyle w:val="Normal"/>
      </w:pPr>
      <w:r>
        <w:rPr>
          <w:rFonts w:ascii="Calibri" w:hAnsi="Calibri"/>
          <w:sz w:val="22"/>
          <w:color w:val="333333"/>
        </w:rPr>
        <w:t>Canary ships with wizard templates for each of the 22 Chirp types and each of the 8 core processes. Templates define the step sequence, branching logic, and evidence requirements. They are configuration-driven — no code changes required to modify wizard behavior.</w:t>
      </w:r>
    </w:p>
    <w:p>
      <w:pPr>
        <w:pStyle w:val="Heading2"/>
      </w:pPr>
      <w:r>
        <w:t>Evidence Collection</w:t>
      </w:r>
    </w:p>
    <w:p>
      <w:pPr>
        <w:pStyle w:val="Normal"/>
      </w:pPr>
      <w:r>
        <w:rPr>
          <w:rFonts w:ascii="Calibri" w:hAnsi="Calibri"/>
          <w:sz w:val="22"/>
          <w:color w:val="333333"/>
        </w:rPr>
        <w:t>Every wizard step that collects merchant input or displays evidence creates an immutable record. The record includes: timestamp, merchant identity, step identifier, input provided, evidence displayed, and a SHA-256 hash linking to the previous record. This creates a complete, tamper-evident audit trail of every investigation.</w:t>
      </w:r>
    </w:p>
    <w:p>
      <w:pPr>
        <w:pStyle w:val="Heading1"/>
      </w:pPr>
      <w:r>
        <w:t>5. Immutability Model</w:t>
      </w:r>
    </w:p>
    <w:p>
      <w:pPr>
        <w:pStyle w:val="Normal"/>
      </w:pPr>
      <w:r>
        <w:rPr>
          <w:rFonts w:ascii="Calibri" w:hAnsi="Calibri"/>
          <w:sz w:val="22"/>
          <w:color w:val="333333"/>
        </w:rPr>
        <w:t>Data integrity is enforced through three complementary layers, each operating at a different level of the stack. Together, they ensure that Canary's records are tamper-evident, independently verifiable, and legally defensible.</w:t>
      </w:r>
    </w:p>
    <w:p>
      <w:pPr>
        <w:pStyle w:val="Heading2"/>
      </w:pPr>
      <w:r>
        <w:t>Layer 1 — Financial Table Triggers</w:t>
      </w:r>
    </w:p>
    <w:p>
      <w:pPr>
        <w:pStyle w:val="Normal"/>
      </w:pPr>
      <w:r>
        <w:rPr>
          <w:rFonts w:ascii="Calibri" w:hAnsi="Calibri"/>
          <w:sz w:val="22"/>
          <w:color w:val="333333"/>
        </w:rPr>
        <w:t>Six financial tables in canary_sales are protected by PostgreSQL triggers that enforce append-only semantics. The trigger function executes BEFORE UPDATE and BEFORE DELETE operations, raising an exception that prevents the operation and logs the attempt.</w:t>
      </w:r>
    </w:p>
    <w:p>
      <w:pPr>
        <w:pStyle w:val="Normal"/>
      </w:pPr>
      <w:r>
        <w:rPr>
          <w:rFonts w:ascii="Calibri" w:hAnsi="Calibri"/>
          <w:sz w:val="22"/>
          <w:color w:val="333333"/>
        </w:rPr>
        <w:t>Protected tables: transactions, refunds, voids, cash_drawer_events, payments, and gift_card_events. These triggers cannot be bypassed by application code — they operate at the database engine level. Even a direct SQL connection with superuser privileges would need to explicitly drop the trigger before modifying data.</w:t>
      </w:r>
    </w:p>
    <w:p>
      <w:pPr>
        <w:pStyle w:val="Heading2"/>
      </w:pPr>
      <w:r>
        <w:t>Layer 2 — Evidence Triggers</w:t>
      </w:r>
    </w:p>
    <w:p>
      <w:pPr>
        <w:pStyle w:val="Normal"/>
      </w:pPr>
      <w:r>
        <w:rPr>
          <w:rFonts w:ascii="Calibri" w:hAnsi="Calibri"/>
          <w:sz w:val="22"/>
          <w:color w:val="333333"/>
        </w:rPr>
        <w:t>Four evidence tables are protected by INSERT-only triggers. Unlike financial tables (which prevent UPDATE and DELETE), evidence tables additionally enforce that once written, evidence records cannot be modified in any way. The tables are: chirp_evidence, investigation_evidence, wizard_outputs, and audit_log.</w:t>
      </w:r>
    </w:p>
    <w:p>
      <w:pPr>
        <w:pStyle w:val="Normal"/>
      </w:pPr>
      <w:r>
        <w:rPr>
          <w:rFonts w:ascii="Calibri" w:hAnsi="Calibri"/>
          <w:sz w:val="22"/>
          <w:color w:val="333333"/>
        </w:rPr>
        <w:t>This distinction matters: financial tables need occasional administrative operations (like adding metadata columns), while evidence tables must be absolutely immutable once written.</w:t>
      </w:r>
    </w:p>
    <w:p>
      <w:pPr>
        <w:pStyle w:val="Heading2"/>
      </w:pPr>
      <w:r>
        <w:t>Layer 3 — Hash Chain Verification</w:t>
      </w:r>
    </w:p>
    <w:p>
      <w:pPr>
        <w:pStyle w:val="Normal"/>
      </w:pPr>
      <w:r>
        <w:rPr>
          <w:rFonts w:ascii="Calibri" w:hAnsi="Calibri"/>
          <w:sz w:val="22"/>
          <w:color w:val="333333"/>
        </w:rPr>
        <w:t>Every record in the immutable tables includes three hash-related fields: entry_hash (SHA-256 of the record's content), previous_hash (hash of the preceding record in the table), and hash_chain_valid (boolean verification flag).</w:t>
      </w:r>
    </w:p>
    <w:p>
      <w:pPr>
        <w:pStyle w:val="Normal"/>
      </w:pPr>
      <w:r>
        <w:rPr>
          <w:rFonts w:ascii="Calibri" w:hAnsi="Calibri"/>
          <w:sz w:val="22"/>
          <w:color w:val="333333"/>
        </w:rPr>
        <w:t>Three PostgreSQL functions implement the hash chain: compute_entry_hash calculates the SHA-256 hash for a given record, verify_entry_hash confirms a single record's integrity, and verify_hash_chain walks the full chain for a table and reports any breaks.</w:t>
      </w:r>
    </w:p>
    <w:p>
      <w:pPr>
        <w:pStyle w:val="Normal"/>
      </w:pPr>
      <w:r>
        <w:rPr>
          <w:rFonts w:ascii="Calibri" w:hAnsi="Calibri"/>
          <w:sz w:val="22"/>
          <w:color w:val="333333"/>
        </w:rPr>
        <w:t>This design means that tampering with any single record breaks the chain for all subsequent records. An auditor can independently verify the complete history of any table by running verify_hash_chain — no application code required, just a database connection and the verification function.</w:t>
      </w:r>
    </w:p>
    <w:p>
      <w:pPr>
        <w:pStyle w:val="Heading1"/>
      </w:pPr>
      <w:r>
        <w:t>6. Authentication</w:t>
      </w:r>
    </w:p>
    <w:p>
      <w:pPr>
        <w:pStyle w:val="Normal"/>
      </w:pPr>
      <w:r>
        <w:rPr>
          <w:rFonts w:ascii="Calibri" w:hAnsi="Calibri"/>
          <w:sz w:val="22"/>
          <w:color w:val="333333"/>
        </w:rPr>
        <w:t>Canary uses LNURL-auth for passwordless, cryptographic authentication. This eliminates the entire category of credential-based attacks: no passwords to steal, no password reset flows to exploit, no email verification to intercept.</w:t>
      </w:r>
    </w:p>
    <w:p>
      <w:pPr>
        <w:pStyle w:val="Heading2"/>
      </w:pPr>
      <w:r>
        <w:t>LNURL-auth Flow</w:t>
      </w:r>
    </w:p>
    <w:p>
      <w:pPr>
        <w:pStyle w:val="Normal"/>
      </w:pPr>
      <w:r>
        <w:rPr>
          <w:rFonts w:ascii="Calibri" w:hAnsi="Calibri"/>
          <w:sz w:val="22"/>
          <w:color w:val="333333"/>
        </w:rPr>
        <w:t>The authentication flow works as follows. Canary presents a challenge (a unique URL containing a random nonce). The merchant's Lightning wallet signs the challenge with their private key. Canary verifies the signature against the merchant's public key. Authentication is complete — no username, no password, no session token transmitted over the wire.</w:t>
      </w:r>
    </w:p>
    <w:p>
      <w:pPr>
        <w:pStyle w:val="Heading2"/>
      </w:pPr>
      <w:r>
        <w:t>Key Management</w:t>
      </w:r>
    </w:p>
    <w:p>
      <w:pPr>
        <w:pStyle w:val="Normal"/>
      </w:pPr>
      <w:r>
        <w:rPr>
          <w:rFonts w:ascii="Calibri" w:hAnsi="Calibri"/>
          <w:sz w:val="22"/>
          <w:color w:val="333333"/>
        </w:rPr>
        <w:t>The merchant's authentication key is derived from their Lightning wallet's HD key hierarchy. They do not manage separate credentials for Canary. Their wallet is their identity. If they lose their device, wallet recovery (via seed phrase) automatically restores Canary access.</w:t>
      </w:r>
    </w:p>
    <w:p>
      <w:pPr>
        <w:pStyle w:val="Heading2"/>
      </w:pPr>
      <w:r>
        <w:t>Security Properties</w:t>
      </w:r>
    </w:p>
    <w:p>
      <w:pPr>
        <w:pStyle w:val="ListBullet"/>
        <w:numPr>
          <w:ilvl w:val="0"/>
          <w:numId w:val="2"/>
        </w:numPr>
      </w:pPr>
      <w:r>
        <w:rPr>
          <w:rFonts w:ascii="Calibri" w:hAnsi="Calibri"/>
          <w:sz w:val="22"/>
          <w:color w:val="333333"/>
        </w:rPr>
        <w:t>Zero knowledge: Canary never sees or stores the merchant's private key</w:t>
      </w:r>
    </w:p>
    <w:p>
      <w:pPr>
        <w:pStyle w:val="ListBullet"/>
        <w:numPr>
          <w:ilvl w:val="0"/>
          <w:numId w:val="2"/>
        </w:numPr>
      </w:pPr>
      <w:r>
        <w:rPr>
          <w:rFonts w:ascii="Calibri" w:hAnsi="Calibri"/>
          <w:sz w:val="22"/>
          <w:color w:val="333333"/>
        </w:rPr>
        <w:t>Phishing resistant: Authentication requires cryptographic signing, not credential entry</w:t>
      </w:r>
    </w:p>
    <w:p>
      <w:pPr>
        <w:pStyle w:val="ListBullet"/>
        <w:numPr>
          <w:ilvl w:val="0"/>
          <w:numId w:val="2"/>
        </w:numPr>
      </w:pPr>
      <w:r>
        <w:rPr>
          <w:rFonts w:ascii="Calibri" w:hAnsi="Calibri"/>
          <w:sz w:val="22"/>
          <w:color w:val="333333"/>
        </w:rPr>
        <w:t>No central credential store: No password database to breach</w:t>
      </w:r>
    </w:p>
    <w:p>
      <w:pPr>
        <w:pStyle w:val="ListBullet"/>
        <w:numPr>
          <w:ilvl w:val="0"/>
          <w:numId w:val="2"/>
        </w:numPr>
      </w:pPr>
      <w:r>
        <w:rPr>
          <w:rFonts w:ascii="Calibri" w:hAnsi="Calibri"/>
          <w:sz w:val="22"/>
          <w:color w:val="333333"/>
        </w:rPr>
        <w:t>Device-bound: Authentication requires physical access to the wallet device</w:t>
      </w:r>
    </w:p>
    <w:p>
      <w:pPr>
        <w:pStyle w:val="ListBullet"/>
        <w:numPr>
          <w:ilvl w:val="0"/>
          <w:numId w:val="2"/>
        </w:numPr>
      </w:pPr>
      <w:r>
        <w:rPr>
          <w:rFonts w:ascii="Calibri" w:hAnsi="Calibri"/>
          <w:sz w:val="22"/>
          <w:color w:val="333333"/>
        </w:rPr>
        <w:t>Replay resistant: Each challenge contains a unique nonce valid for one use</w:t>
      </w:r>
    </w:p>
    <w:p>
      <w:pPr>
        <w:pStyle w:val="Heading1"/>
      </w:pPr>
      <w:r>
        <w:t>7. Payment Infrastructure</w:t>
      </w:r>
    </w:p>
    <w:p>
      <w:pPr>
        <w:pStyle w:val="Normal"/>
      </w:pPr>
      <w:r>
        <w:rPr>
          <w:rFonts w:ascii="Calibri" w:hAnsi="Calibri"/>
          <w:sz w:val="22"/>
          <w:color w:val="333333"/>
        </w:rPr>
        <w:t>Canary's billing operates on Lightning Network L402 micropayments. This is not a cryptocurrency gimmick — it is a pragmatic solution to the unit economics problem of serving SMB merchants with usage-based pricing.</w:t>
      </w:r>
    </w:p>
    <w:p>
      <w:pPr>
        <w:pStyle w:val="Heading2"/>
      </w:pPr>
      <w:r>
        <w:t>L402 Protocol</w:t>
      </w:r>
    </w:p>
    <w:p>
      <w:pPr>
        <w:pStyle w:val="Normal"/>
      </w:pPr>
      <w:r>
        <w:rPr>
          <w:rFonts w:ascii="Calibri" w:hAnsi="Calibri"/>
          <w:sz w:val="22"/>
          <w:color w:val="333333"/>
        </w:rPr>
        <w:t>L402 (formerly LSAT) is an HTTP-native payment protocol. When a merchant accesses a paid resource (like resolving a Chirp), Canary returns a 402 Payment Required response with a Lightning invoice. The merchant's wallet pays the invoice (typically sub-cent amounts), receives a preimage proof, and includes it in the subsequent request. The entire flow is automated — the merchant sees a brief payment confirmation, not a checkout flow.</w:t>
      </w:r>
    </w:p>
    <w:p>
      <w:pPr>
        <w:pStyle w:val="Heading2"/>
      </w:pPr>
      <w:r>
        <w:t>Pricing Model</w:t>
      </w:r>
    </w:p>
    <w:p>
      <w:pPr>
        <w:pStyle w:val="Normal"/>
      </w:pPr>
      <w:r>
        <w:rPr>
          <w:rFonts w:ascii="Calibri" w:hAnsi="Calibri"/>
          <w:sz w:val="22"/>
          <w:color w:val="333333"/>
        </w:rPr>
        <w:t>Per-Chirp pricing aligns Canary's revenue with merchant value. A quiet day with no alerts costs nothing. A day with multiple Chirps costs proportionally more — but each Chirp represents a loss-prevention action that saves the merchant money. The economics are self-reinforcing: Canary only earns when it delivers value.</w:t>
      </w:r>
    </w:p>
    <w:p>
      <w:pPr>
        <w:pStyle w:val="Heading2"/>
      </w:pPr>
      <w:r>
        <w:t>Settlement</w:t>
      </w:r>
    </w:p>
    <w:p>
      <w:pPr>
        <w:pStyle w:val="Normal"/>
      </w:pPr>
      <w:r>
        <w:rPr>
          <w:rFonts w:ascii="Calibri" w:hAnsi="Calibri"/>
          <w:sz w:val="22"/>
          <w:color w:val="333333"/>
        </w:rPr>
        <w:t>Lightning payments settle in seconds with sub-cent transaction fees. There is no 30-day net payment cycle, no invoice processing, no accounts receivable. Canary receives payment confirmation before delivering the paid resource. Cash flow is real-time.</w:t>
      </w:r>
    </w:p>
    <w:p>
      <w:pPr>
        <w:pStyle w:val="Heading1"/>
      </w:pPr>
      <w:r>
        <w:t>8. Square Integration</w:t>
      </w:r>
    </w:p>
    <w:p>
      <w:pPr>
        <w:pStyle w:val="Normal"/>
      </w:pPr>
      <w:r>
        <w:rPr>
          <w:rFonts w:ascii="Calibri" w:hAnsi="Calibri"/>
          <w:sz w:val="22"/>
          <w:color w:val="333333"/>
        </w:rPr>
        <w:t>Canary's Square integration operates as a continuous data pipeline. Transaction events flow from Square's APIs into canary_sales in near real-time, where the detection engine evaluates them against the Chirp Rule Registry.</w:t>
      </w:r>
    </w:p>
    <w:p>
      <w:pPr>
        <w:pStyle w:val="Heading2"/>
      </w:pPr>
      <w:r>
        <w:t>API Surface</w:t>
      </w:r>
    </w:p>
    <w:p>
      <w:pPr>
        <w:pStyle w:val="Normal"/>
      </w:pPr>
      <w:r>
        <w:rPr>
          <w:rFonts w:ascii="Calibri" w:hAnsi="Calibri"/>
          <w:sz w:val="22"/>
          <w:color w:val="333333"/>
        </w:rPr>
        <w:t>Canary consumes the following Square APIs: Transactions API for sales, refunds, and voids; Inventory API for stock levels and adjustments; Labor API for timecards and scheduling; Customers API for loyalty and profile data; Catalog API for product and category information.</w:t>
      </w:r>
    </w:p>
    <w:p>
      <w:pPr>
        <w:pStyle w:val="Heading2"/>
      </w:pPr>
      <w:r>
        <w:t>Webhook Processing</w:t>
      </w:r>
    </w:p>
    <w:p>
      <w:pPr>
        <w:pStyle w:val="Normal"/>
      </w:pPr>
      <w:r>
        <w:rPr>
          <w:rFonts w:ascii="Calibri" w:hAnsi="Calibri"/>
          <w:sz w:val="22"/>
          <w:color w:val="333333"/>
        </w:rPr>
        <w:t>Square webhooks provide real-time event notification. Canary processes webhooks through a dedicated Flask Blueprint that validates webhook signatures, deserializes payloads, maps Square data to CRDM canonical schemas, and enqueues processing tasks via Celery.</w:t>
      </w:r>
    </w:p>
    <w:p>
      <w:pPr>
        <w:pStyle w:val="Heading2"/>
      </w:pPr>
      <w:r>
        <w:t>Rate Limiting and Resilience</w:t>
      </w:r>
    </w:p>
    <w:p>
      <w:pPr>
        <w:pStyle w:val="Normal"/>
      </w:pPr>
      <w:r>
        <w:rPr>
          <w:rFonts w:ascii="Calibri" w:hAnsi="Calibri"/>
          <w:sz w:val="22"/>
          <w:color w:val="333333"/>
        </w:rPr>
        <w:t>The integration layer implements exponential backoff, request queuing, and circuit-breaker patterns to handle Square API rate limits and outages gracefully. Failed requests are retried with increasing delays. If Square is unreachable, Canary continues operating on cached data and queues updates for when connectivity is restored.</w:t>
      </w:r>
    </w:p>
    <w:p>
      <w:pPr>
        <w:pStyle w:val="Heading1"/>
      </w:pPr>
      <w:r>
        <w:t>9. Multi-Tenant Security</w:t>
      </w:r>
    </w:p>
    <w:p>
      <w:pPr>
        <w:pStyle w:val="Normal"/>
      </w:pPr>
      <w:r>
        <w:rPr>
          <w:rFonts w:ascii="Calibri" w:hAnsi="Calibri"/>
          <w:sz w:val="22"/>
          <w:color w:val="333333"/>
        </w:rPr>
        <w:t>Canary isolates merchant data at the database level using PostgreSQL Row Level Security (RLS) policies. Every query is automatically filtered to the authenticated merchant's data. There is no application-level filtering that could be bypassed by a code defect.</w:t>
      </w:r>
    </w:p>
    <w:p>
      <w:pPr>
        <w:pStyle w:val="Heading2"/>
      </w:pPr>
      <w:r>
        <w:t>Row Level Security</w:t>
      </w:r>
    </w:p>
    <w:p>
      <w:pPr>
        <w:pStyle w:val="Normal"/>
      </w:pPr>
      <w:r>
        <w:rPr>
          <w:rFonts w:ascii="Calibri" w:hAnsi="Calibri"/>
          <w:sz w:val="22"/>
          <w:color w:val="333333"/>
        </w:rPr>
        <w:t>RLS policies are applied to every table containing merchant data. The policies reference the current session's merchant_id, set during connection initialization. Even if application code constructs a query without a WHERE clause, PostgreSQL's RLS enforcement ensures only the authenticated merchant's rows are returned.</w:t>
      </w:r>
    </w:p>
    <w:p>
      <w:pPr>
        <w:pStyle w:val="Heading2"/>
      </w:pPr>
      <w:r>
        <w:t>Data Isolation Guarantees</w:t>
      </w:r>
    </w:p>
    <w:p>
      <w:pPr>
        <w:pStyle w:val="ListBullet"/>
        <w:numPr>
          <w:ilvl w:val="0"/>
          <w:numId w:val="2"/>
        </w:numPr>
      </w:pPr>
      <w:r>
        <w:rPr>
          <w:rFonts w:ascii="Calibri" w:hAnsi="Calibri"/>
          <w:sz w:val="22"/>
          <w:color w:val="333333"/>
        </w:rPr>
        <w:t>Database-level enforcement: RLS cannot be bypassed by application code</w:t>
      </w:r>
    </w:p>
    <w:p>
      <w:pPr>
        <w:pStyle w:val="ListBullet"/>
        <w:numPr>
          <w:ilvl w:val="0"/>
          <w:numId w:val="2"/>
        </w:numPr>
      </w:pPr>
      <w:r>
        <w:rPr>
          <w:rFonts w:ascii="Calibri" w:hAnsi="Calibri"/>
          <w:sz w:val="22"/>
          <w:color w:val="333333"/>
        </w:rPr>
        <w:t>Connection-scoped: Merchant context set once per connection, verified on every query</w:t>
      </w:r>
    </w:p>
    <w:p>
      <w:pPr>
        <w:pStyle w:val="ListBullet"/>
        <w:numPr>
          <w:ilvl w:val="0"/>
          <w:numId w:val="2"/>
        </w:numPr>
      </w:pPr>
      <w:r>
        <w:rPr>
          <w:rFonts w:ascii="Calibri" w:hAnsi="Calibri"/>
          <w:sz w:val="22"/>
          <w:color w:val="333333"/>
        </w:rPr>
        <w:t>Audit logged: Cross-merchant access attempts are logged and alerted</w:t>
      </w:r>
    </w:p>
    <w:p>
      <w:pPr>
        <w:pStyle w:val="ListBullet"/>
        <w:numPr>
          <w:ilvl w:val="0"/>
          <w:numId w:val="2"/>
        </w:numPr>
      </w:pPr>
      <w:r>
        <w:rPr>
          <w:rFonts w:ascii="Calibri" w:hAnsi="Calibri"/>
          <w:sz w:val="22"/>
          <w:color w:val="333333"/>
        </w:rPr>
        <w:t>No shared tables: Merchant data never co-mingles in views or materialized tables</w:t>
      </w:r>
    </w:p>
    <w:p>
      <w:pPr>
        <w:pStyle w:val="Heading1"/>
      </w:pPr>
      <w:r>
        <w:t>10. Performance</w:t>
      </w:r>
    </w:p>
    <w:p>
      <w:pPr>
        <w:pStyle w:val="Normal"/>
      </w:pPr>
      <w:r>
        <w:rPr>
          <w:rFonts w:ascii="Calibri" w:hAnsi="Calibri"/>
          <w:sz w:val="22"/>
          <w:color w:val="333333"/>
        </w:rPr>
        <w:t>Canary's performance targets reflect the mobile-first, single-merchant usage pattern. The platform is not designed for high-concurrency enterprise workloads — it is optimized for low-latency, single-user interactions on mobile devices.</w:t>
      </w:r>
    </w:p>
    <w:p>
      <w:pPr>
        <w:pStyle w:val="Heading2"/>
      </w:pPr>
      <w:r>
        <w:t>Target Metrics</w:t>
      </w:r>
    </w:p>
    <w:p>
      <w:pPr>
        <w:pStyle w:val="ListBullet"/>
        <w:numPr>
          <w:ilvl w:val="0"/>
          <w:numId w:val="2"/>
        </w:numPr>
      </w:pPr>
      <w:r>
        <w:rPr>
          <w:rFonts w:ascii="Calibri" w:hAnsi="Calibri"/>
          <w:sz w:val="22"/>
          <w:color w:val="333333"/>
        </w:rPr>
        <w:t>Today's View render: less than 200ms server-side (P95)</w:t>
      </w:r>
    </w:p>
    <w:p>
      <w:pPr>
        <w:pStyle w:val="ListBullet"/>
        <w:numPr>
          <w:ilvl w:val="0"/>
          <w:numId w:val="2"/>
        </w:numPr>
      </w:pPr>
      <w:r>
        <w:rPr>
          <w:rFonts w:ascii="Calibri" w:hAnsi="Calibri"/>
          <w:sz w:val="22"/>
          <w:color w:val="333333"/>
        </w:rPr>
        <w:t>Chirp list load: less than 150ms server-side (P95)</w:t>
      </w:r>
    </w:p>
    <w:p>
      <w:pPr>
        <w:pStyle w:val="ListBullet"/>
        <w:numPr>
          <w:ilvl w:val="0"/>
          <w:numId w:val="2"/>
        </w:numPr>
      </w:pPr>
      <w:r>
        <w:rPr>
          <w:rFonts w:ascii="Calibri" w:hAnsi="Calibri"/>
          <w:sz w:val="22"/>
          <w:color w:val="333333"/>
        </w:rPr>
        <w:t>Wizard step transition: less than 100ms server-side (P95)</w:t>
      </w:r>
    </w:p>
    <w:p>
      <w:pPr>
        <w:pStyle w:val="ListBullet"/>
        <w:numPr>
          <w:ilvl w:val="0"/>
          <w:numId w:val="2"/>
        </w:numPr>
      </w:pPr>
      <w:r>
        <w:rPr>
          <w:rFonts w:ascii="Calibri" w:hAnsi="Calibri"/>
          <w:sz w:val="22"/>
          <w:color w:val="333333"/>
        </w:rPr>
        <w:t>Detection rule evaluation: less than 500ms per rule per transaction</w:t>
      </w:r>
    </w:p>
    <w:p>
      <w:pPr>
        <w:pStyle w:val="ListBullet"/>
        <w:numPr>
          <w:ilvl w:val="0"/>
          <w:numId w:val="2"/>
        </w:numPr>
      </w:pPr>
      <w:r>
        <w:rPr>
          <w:rFonts w:ascii="Calibri" w:hAnsi="Calibri"/>
          <w:sz w:val="22"/>
          <w:color w:val="333333"/>
        </w:rPr>
        <w:t>Full hash chain verification: less than 5 seconds for 10,000 records</w:t>
      </w:r>
    </w:p>
    <w:p>
      <w:pPr>
        <w:pStyle w:val="Heading2"/>
      </w:pPr>
      <w:r>
        <w:t>Caching Strategy</w:t>
      </w:r>
    </w:p>
    <w:p>
      <w:pPr>
        <w:pStyle w:val="Normal"/>
      </w:pPr>
      <w:r>
        <w:rPr>
          <w:rFonts w:ascii="Calibri" w:hAnsi="Calibri"/>
          <w:sz w:val="22"/>
          <w:color w:val="333333"/>
        </w:rPr>
        <w:t>Valkey provides the caching layer. Today's View components are cached with short TTLs (30-60 seconds) to balance freshness with performance. Scorecard calculations are cached with longer TTLs (5-15 minutes) since they update less frequently. Chirp lists are invalidated on any state change.</w:t>
      </w:r>
    </w:p>
    <w:p>
      <w:pPr>
        <w:pStyle w:val="Heading1"/>
      </w:pPr>
      <w:r>
        <w:t>11. API Design</w:t>
      </w:r>
    </w:p>
    <w:p>
      <w:pPr>
        <w:pStyle w:val="Normal"/>
      </w:pPr>
      <w:r>
        <w:rPr>
          <w:rFonts w:ascii="Calibri" w:hAnsi="Calibri"/>
          <w:sz w:val="22"/>
          <w:color w:val="333333"/>
        </w:rPr>
        <w:t>Canary's internal API follows a server-rendered pattern. Routes return HTML fragments, not JSON. This is consistent with the HTMX architecture — the API consumer is always the browser, and the response format is always renderable HTML.</w:t>
      </w:r>
    </w:p>
    <w:p>
      <w:pPr>
        <w:pStyle w:val="Heading2"/>
      </w:pPr>
      <w:r>
        <w:t>Route Conventions</w:t>
      </w:r>
    </w:p>
    <w:p>
      <w:pPr>
        <w:pStyle w:val="ListBullet"/>
        <w:numPr>
          <w:ilvl w:val="0"/>
          <w:numId w:val="2"/>
        </w:numPr>
      </w:pPr>
      <w:r>
        <w:rPr>
          <w:rFonts w:ascii="Calibri" w:hAnsi="Calibri"/>
          <w:sz w:val="22"/>
          <w:color w:val="333333"/>
        </w:rPr>
        <w:t>GET /canary/today — Today's View full page</w:t>
      </w:r>
    </w:p>
    <w:p>
      <w:pPr>
        <w:pStyle w:val="ListBullet"/>
        <w:numPr>
          <w:ilvl w:val="0"/>
          <w:numId w:val="2"/>
        </w:numPr>
      </w:pPr>
      <w:r>
        <w:rPr>
          <w:rFonts w:ascii="Calibri" w:hAnsi="Calibri"/>
          <w:sz w:val="22"/>
          <w:color w:val="333333"/>
        </w:rPr>
        <w:t>GET /canary/chirps — Chirp list fragment</w:t>
      </w:r>
    </w:p>
    <w:p>
      <w:pPr>
        <w:pStyle w:val="ListBullet"/>
        <w:numPr>
          <w:ilvl w:val="0"/>
          <w:numId w:val="2"/>
        </w:numPr>
      </w:pPr>
      <w:r>
        <w:rPr>
          <w:rFonts w:ascii="Calibri" w:hAnsi="Calibri"/>
          <w:sz w:val="22"/>
          <w:color w:val="333333"/>
        </w:rPr>
        <w:t>GET /canary/chirps/{id} — Single Chirp detail</w:t>
      </w:r>
    </w:p>
    <w:p>
      <w:pPr>
        <w:pStyle w:val="ListBullet"/>
        <w:numPr>
          <w:ilvl w:val="0"/>
          <w:numId w:val="2"/>
        </w:numPr>
      </w:pPr>
      <w:r>
        <w:rPr>
          <w:rFonts w:ascii="Calibri" w:hAnsi="Calibri"/>
          <w:sz w:val="22"/>
          <w:color w:val="333333"/>
        </w:rPr>
        <w:t>POST /canary/chirps/{id}/wizard/start — Begin wizard flow</w:t>
      </w:r>
    </w:p>
    <w:p>
      <w:pPr>
        <w:pStyle w:val="ListBullet"/>
        <w:numPr>
          <w:ilvl w:val="0"/>
          <w:numId w:val="2"/>
        </w:numPr>
      </w:pPr>
      <w:r>
        <w:rPr>
          <w:rFonts w:ascii="Calibri" w:hAnsi="Calibri"/>
          <w:sz w:val="22"/>
          <w:color w:val="333333"/>
        </w:rPr>
        <w:t>POST /canary/chirps/{id}/wizard/step/{n} — Submit wizard step</w:t>
      </w:r>
    </w:p>
    <w:p>
      <w:pPr>
        <w:pStyle w:val="ListBullet"/>
        <w:numPr>
          <w:ilvl w:val="0"/>
          <w:numId w:val="2"/>
        </w:numPr>
      </w:pPr>
      <w:r>
        <w:rPr>
          <w:rFonts w:ascii="Calibri" w:hAnsi="Calibri"/>
          <w:sz w:val="22"/>
          <w:color w:val="333333"/>
        </w:rPr>
        <w:t>GET /owl/insights — Insights dashboard</w:t>
      </w:r>
    </w:p>
    <w:p>
      <w:pPr>
        <w:pStyle w:val="ListBullet"/>
        <w:numPr>
          <w:ilvl w:val="0"/>
          <w:numId w:val="2"/>
        </w:numPr>
      </w:pPr>
      <w:r>
        <w:rPr>
          <w:rFonts w:ascii="Calibri" w:hAnsi="Calibri"/>
          <w:sz w:val="22"/>
          <w:color w:val="333333"/>
        </w:rPr>
        <w:t>GET /fox/cases — Case list</w:t>
      </w:r>
    </w:p>
    <w:p>
      <w:pPr>
        <w:pStyle w:val="ListBullet"/>
        <w:numPr>
          <w:ilvl w:val="0"/>
          <w:numId w:val="2"/>
        </w:numPr>
      </w:pPr>
      <w:r>
        <w:rPr>
          <w:rFonts w:ascii="Calibri" w:hAnsi="Calibri"/>
          <w:sz w:val="22"/>
          <w:color w:val="333333"/>
        </w:rPr>
        <w:t>POST /fox/cases/{id}/evidence — Submit evidence</w:t>
      </w:r>
    </w:p>
    <w:p>
      <w:pPr>
        <w:pStyle w:val="Heading2"/>
      </w:pPr>
      <w:r>
        <w:t>Error Handling</w:t>
      </w:r>
    </w:p>
    <w:p>
      <w:pPr>
        <w:pStyle w:val="Normal"/>
      </w:pPr>
      <w:r>
        <w:rPr>
          <w:rFonts w:ascii="Calibri" w:hAnsi="Calibri"/>
          <w:sz w:val="22"/>
          <w:color w:val="333333"/>
        </w:rPr>
        <w:t>Errors return HTML error fragments that HTMX swaps into the appropriate container. The merchant sees a contextual error message, not a stack trace or a generic 500 page. Critical errors (database failures, authentication issues) redirect to a full-page error state with clear guidance on what to do next.</w:t>
      </w:r>
    </w:p>
    <w:p>
      <w:pPr>
        <w:pStyle w:val="Heading1"/>
      </w:pPr>
      <w:r>
        <w:t>12. Development Practices</w:t>
      </w:r>
    </w:p>
    <w:p>
      <w:pPr>
        <w:pStyle w:val="Normal"/>
      </w:pPr>
      <w:r>
        <w:rPr>
          <w:rFonts w:ascii="Calibri" w:hAnsi="Calibri"/>
          <w:sz w:val="22"/>
          <w:color w:val="333333"/>
        </w:rPr>
        <w:t>The development process follows a structured pipeline from feature specification through deployment. The pipeline enforces quality gates at each stage.</w:t>
      </w:r>
    </w:p>
    <w:p>
      <w:pPr>
        <w:pStyle w:val="Heading2"/>
      </w:pPr>
      <w:r>
        <w:t>Pipeline Stages</w:t>
      </w:r>
    </w:p>
    <w:p>
      <w:pPr>
        <w:pStyle w:val="ListBullet"/>
        <w:numPr>
          <w:ilvl w:val="0"/>
          <w:numId w:val="2"/>
        </w:numPr>
      </w:pPr>
      <w:r>
        <w:rPr>
          <w:rFonts w:ascii="Calibri" w:hAnsi="Calibri"/>
          <w:sz w:val="22"/>
          <w:color w:val="333333"/>
        </w:rPr>
        <w:t>Spec: Feature specification with acceptance criteria and test scenarios</w:t>
      </w:r>
    </w:p>
    <w:p>
      <w:pPr>
        <w:pStyle w:val="ListBullet"/>
        <w:numPr>
          <w:ilvl w:val="0"/>
          <w:numId w:val="2"/>
        </w:numPr>
      </w:pPr>
      <w:r>
        <w:rPr>
          <w:rFonts w:ascii="Calibri" w:hAnsi="Calibri"/>
          <w:sz w:val="22"/>
          <w:color w:val="333333"/>
        </w:rPr>
        <w:t>Build: Implementation against specification, with unit tests written alongside code</w:t>
      </w:r>
    </w:p>
    <w:p>
      <w:pPr>
        <w:pStyle w:val="ListBullet"/>
        <w:numPr>
          <w:ilvl w:val="0"/>
          <w:numId w:val="2"/>
        </w:numPr>
      </w:pPr>
      <w:r>
        <w:rPr>
          <w:rFonts w:ascii="Calibri" w:hAnsi="Calibri"/>
          <w:sz w:val="22"/>
          <w:color w:val="333333"/>
        </w:rPr>
        <w:t>QC: Automated and manual QA gates (unit, integration, E2E, clickthrough)</w:t>
      </w:r>
    </w:p>
    <w:p>
      <w:pPr>
        <w:pStyle w:val="ListBullet"/>
        <w:numPr>
          <w:ilvl w:val="0"/>
          <w:numId w:val="2"/>
        </w:numPr>
      </w:pPr>
      <w:r>
        <w:rPr>
          <w:rFonts w:ascii="Calibri" w:hAnsi="Calibri"/>
          <w:sz w:val="22"/>
          <w:color w:val="333333"/>
        </w:rPr>
        <w:t>Packaging: Documentation, branding, and legal review</w:t>
      </w:r>
    </w:p>
    <w:p>
      <w:pPr>
        <w:pStyle w:val="ListBullet"/>
        <w:numPr>
          <w:ilvl w:val="0"/>
          <w:numId w:val="2"/>
        </w:numPr>
      </w:pPr>
      <w:r>
        <w:rPr>
          <w:rFonts w:ascii="Calibri" w:hAnsi="Calibri"/>
          <w:sz w:val="22"/>
          <w:color w:val="333333"/>
        </w:rPr>
        <w:t>Ship: Executive approval, marketplace submission</w:t>
      </w:r>
    </w:p>
    <w:p>
      <w:pPr>
        <w:pStyle w:val="Heading2"/>
      </w:pPr>
      <w:r>
        <w:t>Testing Strategy</w:t>
      </w:r>
    </w:p>
    <w:p>
      <w:pPr>
        <w:pStyle w:val="Normal"/>
      </w:pPr>
      <w:r>
        <w:rPr>
          <w:rFonts w:ascii="Calibri" w:hAnsi="Calibri"/>
          <w:sz w:val="22"/>
          <w:color w:val="333333"/>
        </w:rPr>
        <w:t>The test suite covers four levels: unit tests for individual functions and methods, integration tests for database operations and API routes, end-to-end tests for complete user workflows, and clickthrough tests that validate the UI renders correctly in a browser context.</w:t>
      </w:r>
    </w:p>
    <w:p>
      <w:pPr>
        <w:pStyle w:val="Normal"/>
      </w:pPr>
      <w:r>
        <w:rPr>
          <w:rFonts w:ascii="Calibri" w:hAnsi="Calibri"/>
          <w:sz w:val="22"/>
          <w:color w:val="333333"/>
        </w:rPr>
        <w:t>The QA lead holds absolute veto power — no feature ships without QA sign-off. This is not a suggestion. It is an enforced gate in the deployment pipeline. A feature with failing tests or unresolved QA findings cannot proceed to packaging regardless of timeline pressure.</w:t>
      </w:r>
    </w:p>
    <w:p>
      <w:pPr>
        <w:pStyle w:val="Heading2"/>
      </w:pPr>
      <w:r>
        <w:t>MVP Scope</w:t>
      </w:r>
    </w:p>
    <w:p>
      <w:pPr>
        <w:pStyle w:val="Normal"/>
      </w:pPr>
      <w:r>
        <w:rPr>
          <w:rFonts w:ascii="Calibri" w:hAnsi="Calibri"/>
          <w:sz w:val="22"/>
          <w:color w:val="333333"/>
        </w:rPr>
        <w:t>The current release is frozen at 27 features with 174 acceptance criteria. This scope was locked at sprint planning and cannot be expanded without formal change control. Features, acceptance criteria, and test scenarios are tracked in the PRD with explicit traceability from requirement to implementation to test.</w:t>
      </w:r>
    </w:p>
    <w:p>
      <w:pPr>
        <w:pStyle w:val="Heading1"/>
      </w:pPr>
      <w:r>
        <w:t>13. Roadmap</w:t>
      </w:r>
    </w:p>
    <w:p>
      <w:pPr>
        <w:pStyle w:val="Normal"/>
      </w:pPr>
      <w:r>
        <w:rPr>
          <w:rFonts w:ascii="Calibri" w:hAnsi="Calibri"/>
          <w:sz w:val="22"/>
          <w:color w:val="333333"/>
        </w:rPr>
        <w:t>The E0-F6 release delivers the Guided Operations Companion — the interaction layer through which merchants access all Canary functionality. Subsequent releases extend each animal module with deeper capabilities.</w:t>
      </w:r>
    </w:p>
    <w:p>
      <w:pPr>
        <w:pStyle w:val="Heading2"/>
      </w:pPr>
      <w:r>
        <w:t>Near-Term</w:t>
      </w:r>
    </w:p>
    <w:p>
      <w:pPr>
        <w:pStyle w:val="ListBullet"/>
        <w:numPr>
          <w:ilvl w:val="0"/>
          <w:numId w:val="2"/>
        </w:numPr>
      </w:pPr>
      <w:r>
        <w:rPr>
          <w:rFonts w:ascii="Calibri" w:hAnsi="Calibri"/>
          <w:sz w:val="22"/>
          <w:color w:val="333333"/>
        </w:rPr>
        <w:t>Sprint 6: Owl analytics engine — trend detection, pattern correlation, predictive alerts</w:t>
      </w:r>
    </w:p>
    <w:p>
      <w:pPr>
        <w:pStyle w:val="ListBullet"/>
        <w:numPr>
          <w:ilvl w:val="0"/>
          <w:numId w:val="2"/>
        </w:numPr>
      </w:pPr>
      <w:r>
        <w:rPr>
          <w:rFonts w:ascii="Calibri" w:hAnsi="Calibri"/>
          <w:sz w:val="22"/>
          <w:color w:val="333333"/>
        </w:rPr>
        <w:t>Sprint 7: Fox investigation tools — formal case management, evidence workflow, BOLO network</w:t>
      </w:r>
    </w:p>
    <w:p>
      <w:pPr>
        <w:pStyle w:val="ListBullet"/>
        <w:numPr>
          <w:ilvl w:val="0"/>
          <w:numId w:val="2"/>
        </w:numPr>
      </w:pPr>
      <w:r>
        <w:rPr>
          <w:rFonts w:ascii="Calibri" w:hAnsi="Calibri"/>
          <w:sz w:val="22"/>
          <w:color w:val="333333"/>
        </w:rPr>
        <w:t>Sprint 8: Bull inventory intelligence — automated count scheduling, variance analysis, supplier integration</w:t>
      </w:r>
    </w:p>
    <w:p>
      <w:pPr>
        <w:pStyle w:val="Heading2"/>
      </w:pPr>
      <w:r>
        <w:t>Medium-Term</w:t>
      </w:r>
    </w:p>
    <w:p>
      <w:pPr>
        <w:pStyle w:val="ListBullet"/>
        <w:numPr>
          <w:ilvl w:val="0"/>
          <w:numId w:val="2"/>
        </w:numPr>
      </w:pPr>
      <w:r>
        <w:rPr>
          <w:rFonts w:ascii="Calibri" w:hAnsi="Calibri"/>
          <w:sz w:val="22"/>
          <w:color w:val="333333"/>
        </w:rPr>
        <w:t>Rooster automation: Automated checklist generation, compliance tracking, shift optimization</w:t>
      </w:r>
    </w:p>
    <w:p>
      <w:pPr>
        <w:pStyle w:val="ListBullet"/>
        <w:numPr>
          <w:ilvl w:val="0"/>
          <w:numId w:val="2"/>
        </w:numPr>
      </w:pPr>
      <w:r>
        <w:rPr>
          <w:rFonts w:ascii="Calibri" w:hAnsi="Calibri"/>
          <w:sz w:val="22"/>
          <w:color w:val="333333"/>
        </w:rPr>
        <w:t>Goose treasury: Cash flow forecasting, deposit optimization, payment reconciliation</w:t>
      </w:r>
    </w:p>
    <w:p>
      <w:pPr>
        <w:pStyle w:val="ListBullet"/>
        <w:numPr>
          <w:ilvl w:val="0"/>
          <w:numId w:val="2"/>
        </w:numPr>
      </w:pPr>
      <w:r>
        <w:rPr>
          <w:rFonts w:ascii="Calibri" w:hAnsi="Calibri"/>
          <w:sz w:val="22"/>
          <w:color w:val="333333"/>
        </w:rPr>
        <w:t>Multi-store: Merchant portfolio view, cross-store pattern detection, consolidated reporting</w:t>
      </w:r>
    </w:p>
    <w:p>
      <w:pPr>
        <w:pStyle w:val="Heading2"/>
      </w:pPr>
      <w:r>
        <w:t>Architecture Evolution</w:t>
      </w:r>
    </w:p>
    <w:p>
      <w:pPr>
        <w:pStyle w:val="Normal"/>
      </w:pPr>
      <w:r>
        <w:rPr>
          <w:rFonts w:ascii="Calibri" w:hAnsi="Calibri"/>
          <w:sz w:val="22"/>
          <w:color w:val="333333"/>
        </w:rPr>
        <w:t>The platform's HTMX architecture supports progressive enhancement without rewrites. New modules are added as Flask Blueprints with their own templates and routes. The wizard engine's configuration-driven design means new detection rules and resolution workflows can be deployed without code changes. The Lightning payment infrastructure scales linearly — each new feature is simply a new paid resource behind an L402 gate.</w:t>
      </w:r>
    </w:p>
    <w:sectPr>
      <w:pgSz w:w="12240" w:h="15840"/>
      <w:pgMar w:top="1440" w:right="1440" w:bottom="1440" w:left="1440" w:header="708" w:footer="708" w:gutter="0"/>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1262D" w:sz="1"/>
            <w:left w:val="none" w:sz="0"/>
            <w:bottom w:val="none" w:sz="0"/>
            <w:right w:val="none" w:sz="0"/>
          </w:tcBorders>
          <w:tcMar>
            <w:top w:type="dxa" w:w="80"/>
            <w:left w:type="dxa" w:w="0"/>
            <w:bottom w:type="dxa" w:w="40"/>
            <w:right w:type="dxa" w:w="120"/>
          </w:tcMar>
        </w:tcPr>
        <w:p>
          <w:r>
            <w:rPr>
              <w:rFonts w:ascii="Calibri" w:cs="Calibri" w:eastAsia="Calibri" w:hAnsi="Calibri"/>
              <w:i/>
              <w:iCs/>
              <w:color w:val="6B7280"/>
              <w:sz w:val="14"/>
              <w:szCs w:val="14"/>
            </w:rPr>
            <w:t xml:space="preserve">Confidential</w:t>
          </w:r>
        </w:p>
      </w:tc>
      <w:tc>
        <w:tcPr>
          <w:tcW w:type="dxa" w:w="4680"/>
          <w:tcBorders>
            <w:top w:val="single" w:color="21262D" w:sz="1"/>
            <w:left w:val="none" w:sz="0"/>
            <w:bottom w:val="none" w:sz="0"/>
            <w:right w:val="none" w:sz="0"/>
          </w:tcBorders>
          <w:tcMar>
            <w:top w:type="dxa" w:w="80"/>
            <w:left w:type="dxa" w:w="120"/>
            <w:bottom w:type="dxa" w:w="40"/>
            <w:right w:type="dxa" w:w="0"/>
          </w:tcMar>
        </w:tcPr>
        <w:p>
          <w:pPr>
            <w:jc w:val="right"/>
          </w:pPr>
          <w:r>
            <w:rPr>
              <w:rFonts w:ascii="Calibri" w:cs="Calibri" w:eastAsia="Calibri" w:hAnsi="Calibri"/>
              <w:color w:val="6B7280"/>
              <w:sz w:val="14"/>
              <w:szCs w:val="14"/>
            </w:rPr>
            <w:t xml:space="preserve">Page </w:t>
          </w:r>
          <w:r>
            <w:rPr>
              <w:rFonts w:ascii="Calibri" w:cs="Calibri" w:eastAsia="Calibri" w:hAnsi="Calibri"/>
              <w:color w:val="6B7280"/>
              <w:sz w:val="14"/>
              <w:szCs w:val="14"/>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single" w:color="21262D" w:sz="1"/>
            <w:right w:val="none" w:sz="0"/>
          </w:tcBorders>
          <w:tcMar>
            <w:top w:type="dxa" w:w="40"/>
            <w:left w:type="dxa" w:w="0"/>
            <w:bottom w:type="dxa" w:w="80"/>
            <w:right w:type="dxa" w:w="120"/>
          </w:tcMar>
        </w:tcPr>
        <w:p>
          <w:r>
            <w:rPr>
              <w:rFonts w:ascii="Calibri" w:cs="Calibri" w:eastAsia="Calibri" w:hAnsi="Calibri"/>
              <w:b/>
              <w:bCs/>
              <w:color w:val="FBBF24"/>
              <w:spacing w:val="100"/>
              <w:sz w:val="16"/>
              <w:szCs w:val="16"/>
            </w:rPr>
            <w:t xml:space="preserve">CANARY</w:t>
          </w:r>
          <w:r>
            <w:rPr>
              <w:rFonts w:ascii="Calibri" w:cs="Calibri" w:eastAsia="Calibri" w:hAnsi="Calibri"/>
              <w:color w:val="6B7280"/>
              <w:sz w:val="14"/>
              <w:szCs w:val="14"/>
            </w:rPr>
            <w:t xml:space="preserve">  Early Warning LP</w:t>
          </w:r>
        </w:p>
      </w:tc>
      <w:tc>
        <w:tcPr>
          <w:tcW w:type="dxa" w:w="4680"/>
          <w:tcBorders>
            <w:top w:val="none" w:sz="0"/>
            <w:left w:val="none" w:sz="0"/>
            <w:bottom w:val="single" w:color="21262D" w:sz="1"/>
            <w:right w:val="none" w:sz="0"/>
          </w:tcBorders>
          <w:tcMar>
            <w:top w:type="dxa" w:w="40"/>
            <w:left w:type="dxa" w:w="120"/>
            <w:bottom w:type="dxa" w:w="80"/>
            <w:right w:type="dxa" w:w="0"/>
          </w:tcMar>
        </w:tcPr>
        <w:p>
          <w:pPr>
            <w:jc w:val="right"/>
          </w:pPr>
          <w:r>
            <w:rPr>
              <w:rFonts w:ascii="Calibri" w:cs="Calibri" w:eastAsia="Calibri" w:hAnsi="Calibri"/>
              <w:color w:val="6B7280"/>
              <w:sz w:val="14"/>
              <w:szCs w:val="14"/>
            </w:rPr>
            <w:t xml:space="preserve">[Document Title]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FBBF24"/>
      <w:sz w:val="32"/>
      <w:szCs w:val="32"/>
    </w:rPr>
  </w:style>
  <w:style w:type="paragraph" w:styleId="Heading2">
    <w:name w:val="Heading 2"/>
    <w:basedOn w:val="Normal"/>
    <w:next w:val="Normal"/>
    <w:qFormat/>
    <w:rPr>
      <w:color w:val="FBBF2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FBBF24"/>
    </w:rPr>
  </w:style>
  <w:style w:type="paragraph" w:styleId="Heading5">
    <w:name w:val="Heading 5"/>
    <w:basedOn w:val="Normal"/>
    <w:next w:val="Normal"/>
    <w:qFormat/>
    <w:rPr>
      <w:color w:val="FBBF24"/>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0D1117"/>
      <w:sz w:val="36"/>
      <w:szCs w:val="36"/>
    </w:rPr>
  </w:style>
  <w:style w:type="paragraph" w:styleId="Heading2">
    <w:name w:val="Heading 2"/>
    <w:basedOn w:val="Normal"/>
    <w:next w:val="Normal"/>
    <w:qFormat/>
    <w:pPr>
      <w:spacing w:before="240" w:after="160"/>
      <w:outlineLvl w:val="1"/>
    </w:pPr>
    <w:rPr>
      <w:rFonts w:ascii="Calibri" w:cs="Calibri" w:eastAsia="Calibri" w:hAnsi="Calibri"/>
      <w:b/>
      <w:bCs/>
      <w:color w:val="161B22"/>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2026-02-15T04:20:52.591Z</dcterms:created>
  <dcterms:modified xsi:type="dcterms:W3CDTF">2026-02-15T04:20:52.591Z</dcterms:modified>
</cp:coreProperties>
</file>

<file path=docProps/custom.xml><?xml version="1.0" encoding="utf-8"?>
<Properties xmlns="http://schemas.openxmlformats.org/officeDocument/2006/custom-properties" xmlns:vt="http://schemas.openxmlformats.org/officeDocument/2006/docPropsVTypes"/>
</file>