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FBBF24"/>
          <w:sz w:val="36"/>
          <w:szCs w:val="36"/>
        </w:rPr>
        <w:t xml:space="preserve">GROWDIRECT LLC</w:t>
      </w:r>
    </w:p>
    <w:p>
      <w:pPr>
        <w:pBdr>
          <w:bottom w:val="single" w:color="E0E0E0" w:sz="4" w:space="4"/>
        </w:pBdr>
        <w:spacing w:after="200" w:before="200"/>
      </w:pPr>
    </w:p>
    <w:p>
      <w:pPr>
        <w:spacing w:after="160"/>
        <w:jc w:val="center"/>
      </w:pPr>
      <w:r>
        <w:rPr>
          <w:rFonts w:ascii="Calibri" w:cs="Calibri" w:eastAsia="Calibri" w:hAnsi="Calibri"/>
          <w:b/>
          <w:bCs/>
          <w:color w:val="1F4D78"/>
          <w:sz w:val="32"/>
          <w:szCs w:val="32"/>
        </w:rPr>
        <w:t xml:space="preserve">OPERATING AGREEMENT</w:t>
      </w:r>
    </w:p>
    <w:p>
      <w:pPr>
        <w:spacing w:after="200"/>
        <w:jc w:val="center"/>
      </w:pPr>
      <w:r>
        <w:rPr>
          <w:rFonts w:ascii="Calibri" w:cs="Calibri" w:eastAsia="Calibri" w:hAnsi="Calibri"/>
          <w:i/>
          <w:iCs/>
          <w:color w:val="666666"/>
          <w:sz w:val="24"/>
          <w:szCs w:val="24"/>
        </w:rPr>
        <w:t xml:space="preserve">GrowDirect DAO LLC — Wyoming Decentralized Autonomous Organization</w:t>
      </w:r>
    </w:p>
    <w:p>
      <w:pPr>
        <w:pBdr>
          <w:bottom w:val="single" w:color="E0E0E0" w:sz="4" w:space="4"/>
        </w:pBdr>
        <w:spacing w:after="200" w:before="200"/>
      </w:pPr>
    </w:p>
    <w:p>
      <w:pPr>
        <w:spacing w:after="60"/>
        <w:jc w:val="center"/>
      </w:pPr>
      <w:r>
        <w:rPr>
          <w:b/>
          <w:bCs/>
          <w:color w:val="666666"/>
          <w:sz w:val="20"/>
          <w:szCs w:val="20"/>
        </w:rPr>
        <w:t xml:space="preserve">Entity: </w:t>
      </w:r>
      <w:r>
        <w:rPr>
          <w:color w:val="666666"/>
          <w:sz w:val="20"/>
          <w:szCs w:val="20"/>
        </w:rPr>
        <w:t xml:space="preserve">GrowDirect DAO LLC</w:t>
      </w:r>
    </w:p>
    <w:p>
      <w:pPr>
        <w:spacing w:after="60"/>
        <w:jc w:val="center"/>
      </w:pPr>
      <w:r>
        <w:rPr>
          <w:b/>
          <w:bCs/>
          <w:color w:val="666666"/>
          <w:sz w:val="20"/>
          <w:szCs w:val="20"/>
        </w:rPr>
        <w:t xml:space="preserve">Organized Under: </w:t>
      </w:r>
      <w:r>
        <w:rPr>
          <w:color w:val="666666"/>
          <w:sz w:val="20"/>
          <w:szCs w:val="20"/>
        </w:rPr>
        <w:t xml:space="preserve">W.S. 17-29-101 et seq. and W.S. 17-31-101 et seq.</w:t>
      </w:r>
    </w:p>
    <w:p>
      <w:pPr>
        <w:spacing w:after="60"/>
        <w:jc w:val="center"/>
      </w:pPr>
      <w:r>
        <w:rPr>
          <w:b/>
          <w:bCs/>
          <w:color w:val="666666"/>
          <w:sz w:val="20"/>
          <w:szCs w:val="20"/>
        </w:rPr>
        <w:t xml:space="preserve">Effective Date: </w:t>
      </w:r>
      <w:r>
        <w:rPr>
          <w:color w:val="666666"/>
          <w:sz w:val="20"/>
          <w:szCs w:val="20"/>
        </w:rPr>
        <w:t xml:space="preserve">[DATE OF FILING]</w:t>
      </w:r>
    </w:p>
    <w:p>
      <w:pPr>
        <w:spacing w:after="60"/>
        <w:jc w:val="center"/>
      </w:pPr>
      <w:r>
        <w:rPr>
          <w:b/>
          <w:bCs/>
          <w:color w:val="666666"/>
          <w:sz w:val="20"/>
          <w:szCs w:val="20"/>
        </w:rPr>
        <w:t xml:space="preserve">Prepared By: </w:t>
      </w:r>
      <w:r>
        <w:rPr>
          <w:color w:val="666666"/>
          <w:sz w:val="20"/>
          <w:szCs w:val="20"/>
        </w:rPr>
        <w:t xml:space="preserve">GrowDirect Legal</w:t>
      </w:r>
    </w:p>
    <w:p>
      <w:pPr>
        <w:spacing w:after="60"/>
        <w:jc w:val="center"/>
      </w:pPr>
      <w:r>
        <w:rPr>
          <w:b/>
          <w:bCs/>
          <w:color w:val="666666"/>
          <w:sz w:val="20"/>
          <w:szCs w:val="20"/>
        </w:rPr>
        <w:t xml:space="preserve">Contact: </w:t>
      </w:r>
      <w:r>
        <w:rPr>
          <w:color w:val="666666"/>
          <w:sz w:val="20"/>
          <w:szCs w:val="20"/>
        </w:rPr>
        <w:t xml:space="preserve">gclyle@growdirect.io | 310-905-9272</w:t>
      </w:r>
    </w:p>
    <w:p>
      <w:pPr>
        <w:spacing w:before="400"/>
      </w:pPr>
    </w:p>
    <w:p>
      <w:pPr>
        <w:jc w:val="center"/>
      </w:pPr>
      <w:r>
        <w:rPr>
          <w:rFonts w:ascii="Calibri" w:cs="Calibri" w:eastAsia="Calibri" w:hAnsi="Calibri"/>
          <w:b/>
          <w:bCs/>
          <w:color w:val="CC0000"/>
          <w:sz w:val="20"/>
          <w:szCs w:val="20"/>
        </w:rPr>
        <w:t xml:space="preserve">CONFIDENTIAL</w:t>
      </w:r>
    </w:p>
    <w:p>
      <w:r>
        <w:br w:type="page"/>
      </w:r>
    </w:p>
    <w:p>
      <w:pPr>
        <w:pStyle w:val="Heading1"/>
      </w:pPr>
      <w:r>
        <w:t xml:space="preserve">RECITALS</w:t>
      </w:r>
    </w:p>
    <w:p>
      <w:pPr>
        <w:spacing w:after="120"/>
      </w:pPr>
      <w:r>
        <w:t xml:space="preserve">This Operating Agreement (“Agreement”) of GrowDirect DAO LLC (the “Company” or “DAO”) is entered into effective as of the date of filing of the Articles of Organization with the Wyoming Secretary of State, by and among the Members identified herein.</w:t>
      </w:r>
    </w:p>
    <w:p>
      <w:pPr>
        <w:spacing w:after="120"/>
      </w:pPr>
      <w:r>
        <w:t xml:space="preserve">WHEREAS, the Members desire to form a Decentralized Autonomous Organization Limited Liability Company under the laws of the State of Wyoming;</w:t>
      </w:r>
    </w:p>
    <w:p>
      <w:pPr>
        <w:spacing w:after="120"/>
      </w:pPr>
      <w:r>
        <w:t xml:space="preserve">WHEREAS, the Members intend that the governance of the Company shall be facilitated in part by smart contracts deployed on a blockchain;</w:t>
      </w:r>
    </w:p>
    <w:p>
      <w:pPr>
        <w:spacing w:after="120"/>
      </w:pPr>
      <w:r>
        <w:t xml:space="preserve">WHEREAS, the Company shall operate the Canary loss prevention platform, Bitcoin/Lightning payment infrastructure, and related technology products for retail merchants;</w:t>
      </w:r>
    </w:p>
    <w:p>
      <w:pPr>
        <w:spacing w:after="120"/>
      </w:pPr>
      <w:r>
        <w:t xml:space="preserve">NOW, THEREFORE, in consideration of the mutual covenants and agreements herein, the Members agree as follows:</w:t>
      </w:r>
    </w:p>
    <w:p>
      <w:pPr>
        <w:pStyle w:val="Heading1"/>
      </w:pPr>
      <w:r>
        <w:t xml:space="preserve">Article 1: Definitions</w:t>
      </w:r>
    </w:p>
    <w:p>
      <w:pPr>
        <w:spacing w:after="120"/>
      </w:pPr>
      <w:r>
        <w:rPr>
          <w:b/>
          <w:bCs/>
        </w:rPr>
        <w:t xml:space="preserve">“Blockchain”</w:t>
      </w:r>
      <w:r>
        <w:t xml:space="preserve"> means the Avalanche blockchain (C-Chain), the distributed ledger technology selected as the primary deployment chain for the Governance Smart Contract.</w:t>
      </w:r>
    </w:p>
    <w:p>
      <w:pPr>
        <w:spacing w:after="120"/>
      </w:pPr>
      <w:r>
        <w:rPr>
          <w:b/>
          <w:bCs/>
        </w:rPr>
        <w:t xml:space="preserve">“Founder Member”</w:t>
      </w:r>
      <w:r>
        <w:t xml:space="preserve"> means Geoffrey C. Lyle, the initial organizing member of the Company.</w:t>
      </w:r>
    </w:p>
    <w:p>
      <w:pPr>
        <w:spacing w:after="120"/>
      </w:pPr>
      <w:r>
        <w:rPr>
          <w:b/>
          <w:bCs/>
        </w:rPr>
        <w:t xml:space="preserve">“Governance Token”</w:t>
      </w:r>
      <w:r>
        <w:t xml:space="preserve"> means the digital token (“GROW”) that represents membership interest and voting power in the DAO.</w:t>
      </w:r>
    </w:p>
    <w:p>
      <w:pPr>
        <w:spacing w:after="120"/>
      </w:pPr>
      <w:r>
        <w:rPr>
          <w:b/>
          <w:bCs/>
        </w:rPr>
        <w:t xml:space="preserve">“Majority Vote”</w:t>
      </w:r>
      <w:r>
        <w:t xml:space="preserve"> means approval by holders of more than fifty percent (50%) of the total outstanding Governance Tokens that participate in a vote, provided a quorum is met.</w:t>
      </w:r>
    </w:p>
    <w:p>
      <w:pPr>
        <w:spacing w:after="120"/>
      </w:pPr>
      <w:r>
        <w:rPr>
          <w:b/>
          <w:bCs/>
        </w:rPr>
        <w:t xml:space="preserve">“Quorum”</w:t>
      </w:r>
      <w:r>
        <w:t xml:space="preserve"> means twenty percent (20%) of total outstanding tokens.</w:t>
      </w:r>
    </w:p>
    <w:p>
      <w:pPr>
        <w:spacing w:after="120"/>
      </w:pPr>
      <w:r>
        <w:rPr>
          <w:b/>
          <w:bCs/>
        </w:rPr>
        <w:t xml:space="preserve">“Supermajority Vote”</w:t>
      </w:r>
      <w:r>
        <w:t xml:space="preserve"> means approval by holders of more than two-thirds (66.7%) of the total outstanding Governance Tokens that participate in a vote.</w:t>
      </w:r>
    </w:p>
    <w:p>
      <w:pPr>
        <w:spacing w:after="120"/>
      </w:pPr>
      <w:r>
        <w:rPr>
          <w:b/>
          <w:bCs/>
        </w:rPr>
        <w:t xml:space="preserve">“Treasury”</w:t>
      </w:r>
      <w:r>
        <w:t xml:space="preserve"> means the DAO’s collective assets, including Bitcoin, stablecoins, fiat, and other digital assets held in smart contract-controlled or multi-signature wallets.</w:t>
      </w:r>
    </w:p>
    <w:p>
      <w:pPr>
        <w:pStyle w:val="Heading1"/>
      </w:pPr>
      <w:r>
        <w:t xml:space="preserve">Article 2: Formation and Existence</w:t>
      </w:r>
    </w:p>
    <w:p>
      <w:pPr>
        <w:spacing w:after="120"/>
      </w:pPr>
      <w:r>
        <w:t xml:space="preserve">The Company was formed upon the filing of the Articles of Organization with the Wyoming Secretary of State pursuant to W.S. 17-31-104. The Company may also conduct business under the names “GrowDirect,” “Canary LP,” or such other trade names as the Members may approve. The Company shall have perpetual duration.</w:t>
      </w:r>
    </w:p>
    <w:p>
      <w:pPr>
        <w:pStyle w:val="Heading1"/>
      </w:pPr>
      <w:r>
        <w:t xml:space="preserve">Article 3: Membership and Governance Tokens</w:t>
      </w:r>
    </w:p>
    <w:p>
      <w:pPr>
        <w:pStyle w:val="Heading2"/>
      </w:pPr>
      <w:r>
        <w:t xml:space="preserve">3.1 Membership Interests</w:t>
      </w:r>
    </w:p>
    <w:p>
      <w:pPr>
        <w:spacing w:after="120"/>
      </w:pPr>
      <w:r>
        <w:t xml:space="preserve">Membership interests in the Company are represented by Governance Tokens (“GROW”). Each GROW token entitles the holder to one (1) vote on Proposals submitted to the DAO.</w:t>
      </w:r>
    </w:p>
    <w:p>
      <w:pPr>
        <w:pStyle w:val="Heading2"/>
      </w:pPr>
      <w:r>
        <w:t xml:space="preserve">3.2 Initial Token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860"/>
      </w:tblGrid>
      <w:tr>
        <w:tc>
          <w:tcPr>
            <w:tcW w:type="dxa" w:w="30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Allocation</w:t>
            </w:r>
          </w:p>
        </w:tc>
        <w:tc>
          <w:tcPr>
            <w:tcW w:type="dxa" w:w="20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Tokens</w:t>
            </w:r>
          </w:p>
        </w:tc>
        <w:tc>
          <w:tcPr>
            <w:tcW w:type="dxa" w:w="15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Percentage</w:t>
            </w:r>
          </w:p>
        </w:tc>
        <w:tc>
          <w:tcPr>
            <w:tcW w:type="dxa" w:w="286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Vesting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Founder (Geoffrey C. Lyle)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51,000,000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4-yr, 1-yr cliff</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Team &amp; Advisors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15,000,000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4-yr, 1-yr cliff</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Treasury / Operations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20,000,000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DAO-governed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Community / Ecosystem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10,000,000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Milestone-based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Future Investors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4,000,000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Per SAFE/agreement</w:t>
            </w:r>
          </w:p>
        </w:tc>
      </w:tr>
    </w:tbl>
    <w:p>
      <w:pPr>
        <w:spacing w:before="60"/>
      </w:pPr>
    </w:p>
    <w:p>
      <w:pPr>
        <w:spacing w:after="120"/>
      </w:pPr>
      <w:r>
        <w:rPr>
          <w:b/>
          <w:bCs/>
        </w:rPr>
        <w:t xml:space="preserve">Total Supply: </w:t>
      </w:r>
      <w:r>
        <w:t xml:space="preserve">100,000,000 GROW tokens (fixed supply, no additional minting without Supermajority Vote)</w:t>
      </w:r>
    </w:p>
    <w:p>
      <w:pPr>
        <w:spacing w:after="120"/>
      </w:pPr>
      <w:r>
        <w:rPr>
          <w:b/>
          <w:bCs/>
          <w:i/>
          <w:iCs/>
          <w:color w:val="1F4D78"/>
        </w:rPr>
        <w:t xml:space="preserve">ATTORNEY NOTE: </w:t>
      </w:r>
      <w:r>
        <w:rPr>
          <w:i/>
          <w:iCs/>
          <w:color w:val="666666"/>
        </w:rPr>
        <w:t xml:space="preserve">Token allocation percentages are placeholders. Securities counsel should evaluate whether GROW tokens constitute securities under Howey.</w:t>
      </w:r>
    </w:p>
    <w:p>
      <w:pPr>
        <w:pStyle w:val="Heading2"/>
      </w:pPr>
      <w:r>
        <w:t xml:space="preserve">3.3 Transfer Restrictions</w:t>
      </w:r>
    </w:p>
    <w:p>
      <w:pPr>
        <w:spacing w:after="120"/>
      </w:pPr>
      <w:r>
        <w:t xml:space="preserve">Pursuant to W.S. 17-31-109: Founder Tokens (51%) are subject to a four-year vesting schedule with a one-year cliff and are non-transferable during the vesting period except with Supermajority approval. All transfers must comply with applicable securities laws.</w:t>
      </w:r>
    </w:p>
    <w:p>
      <w:pPr>
        <w:pStyle w:val="Heading1"/>
      </w:pPr>
      <w:r>
        <w:t xml:space="preserve">Article 4: Governance and Voting</w:t>
      </w:r>
    </w:p>
    <w:p>
      <w:pPr>
        <w:pStyle w:val="Heading2"/>
      </w:pPr>
      <w:r>
        <w:t xml:space="preserve">4.1 Member-Managed</w:t>
      </w:r>
    </w:p>
    <w:p>
      <w:pPr>
        <w:spacing w:after="120"/>
      </w:pPr>
      <w:r>
        <w:t xml:space="preserve">The Company is member-managed. All Members holding Governance Tokens have the right to participate in governance through the Proposal and voting mechanisms defined in the Governance Smart Contract.</w:t>
      </w:r>
    </w:p>
    <w:p>
      <w:pPr>
        <w:pStyle w:val="Heading2"/>
      </w:pPr>
      <w:r>
        <w:t xml:space="preserve">4.2 Proposal Types and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600"/>
        <w:gridCol w:w="2560"/>
      </w:tblGrid>
      <w:tr>
        <w:tc>
          <w:tcPr>
            <w:tcW w:type="dxa" w:w="30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Proposal Type</w:t>
            </w:r>
          </w:p>
        </w:tc>
        <w:tc>
          <w:tcPr>
            <w:tcW w:type="dxa" w:w="22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Threshold</w:t>
            </w:r>
          </w:p>
        </w:tc>
        <w:tc>
          <w:tcPr>
            <w:tcW w:type="dxa" w:w="16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Quorum</w:t>
            </w:r>
          </w:p>
        </w:tc>
        <w:tc>
          <w:tcPr>
            <w:tcW w:type="dxa" w:w="256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Voting Period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Operational (&lt; $50K spend)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Majority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 days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Treasury (&gt; $50K spend)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Majority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 days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Smart Contract Upgrade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Supermajority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7 days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Amend Operating Agreement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Supermajority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7 days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Amend Articles of Org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Supermajority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14 days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Dissolution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Supermajority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14 days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Token Supply Change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Supermajority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14 days</w:t>
            </w:r>
          </w:p>
        </w:tc>
      </w:tr>
    </w:tbl>
    <w:p>
      <w:pPr>
        <w:pStyle w:val="Heading2"/>
      </w:pPr>
      <w:r>
        <w:t xml:space="preserve">4.3 Founder Authority (Initial Operating Period)</w:t>
      </w:r>
    </w:p>
    <w:p>
      <w:pPr>
        <w:spacing w:after="120"/>
      </w:pPr>
      <w:r>
        <w:t xml:space="preserve">During the Initial Operating Period (first 24 months following formation, or until the first external funding round closes, whichever occurs first), the Founder Member shall have delegated authority to:</w:t>
      </w:r>
    </w:p>
    <w:p>
      <w:pPr>
        <w:pStyle w:val="ListParagraph"/>
        <w:numPr>
          <w:ilvl w:val="0"/>
          <w:numId w:val="2"/>
        </w:numPr>
        <w:spacing w:after="60"/>
      </w:pPr>
      <w:r>
        <w:t xml:space="preserve">Execute day-to-day operational decisions without requiring a formal Proposal</w:t>
      </w:r>
    </w:p>
    <w:p>
      <w:pPr>
        <w:pStyle w:val="ListParagraph"/>
        <w:numPr>
          <w:ilvl w:val="0"/>
          <w:numId w:val="2"/>
        </w:numPr>
        <w:spacing w:after="60"/>
      </w:pPr>
      <w:r>
        <w:t xml:space="preserve">Approve expenditures up to $25,000 per transaction without member vote</w:t>
      </w:r>
    </w:p>
    <w:p>
      <w:pPr>
        <w:pStyle w:val="ListParagraph"/>
        <w:numPr>
          <w:ilvl w:val="0"/>
          <w:numId w:val="2"/>
        </w:numPr>
        <w:spacing w:after="60"/>
      </w:pPr>
      <w:r>
        <w:t xml:space="preserve">Enter into contracts in the ordinary course of business</w:t>
      </w:r>
    </w:p>
    <w:p>
      <w:pPr>
        <w:pStyle w:val="ListParagraph"/>
        <w:numPr>
          <w:ilvl w:val="0"/>
          <w:numId w:val="2"/>
        </w:numPr>
        <w:spacing w:after="60"/>
      </w:pPr>
      <w:r>
        <w:t xml:space="preserve">Manage the initial deployment of the Governance Smart Contract</w:t>
      </w:r>
    </w:p>
    <w:p>
      <w:pPr>
        <w:pStyle w:val="ListParagraph"/>
        <w:numPr>
          <w:ilvl w:val="0"/>
          <w:numId w:val="2"/>
        </w:numPr>
        <w:spacing w:after="60"/>
      </w:pPr>
      <w:r>
        <w:t xml:space="preserve">Appoint and remove team members and advisors</w:t>
      </w:r>
    </w:p>
    <w:p>
      <w:pPr>
        <w:spacing w:after="120"/>
      </w:pPr>
      <w:r>
        <w:rPr>
          <w:b/>
          <w:bCs/>
          <w:i/>
          <w:iCs/>
          <w:color w:val="1F4D78"/>
        </w:rPr>
        <w:t xml:space="preserve">ATTORNEY NOTE: </w:t>
      </w:r>
      <w:r>
        <w:rPr>
          <w:i/>
          <w:iCs/>
          <w:color w:val="666666"/>
        </w:rPr>
        <w:t xml:space="preserve">The Initial Operating Period clause is critical for startup velocity. Attorney should review the scope of Founder authority.</w:t>
      </w:r>
    </w:p>
    <w:p>
      <w:pPr>
        <w:pStyle w:val="Heading1"/>
      </w:pPr>
      <w:r>
        <w:t xml:space="preserve">Article 5: Capital Contributions and Treasury</w:t>
      </w:r>
    </w:p>
    <w:p>
      <w:pPr>
        <w:spacing w:after="120"/>
      </w:pPr>
      <w:r>
        <w:t xml:space="preserve">The Company shall maintain a multi-asset digital treasury managed through multi-signature wallets requiring at least two-of-three (2/3) signatories. The treasury shall include: (a) Bitcoin held as a long-term strategic reserve; (b) AVAX tokens staked as an Avalanche validator node; and (c) FRNT and/or other stablecoins for operational liquidity. Disbursements exceeding $10,000 equivalent require Majority Vote approval.</w:t>
      </w:r>
    </w:p>
    <w:p>
      <w:pPr>
        <w:pStyle w:val="Heading1"/>
      </w:pPr>
      <w:r>
        <w:t xml:space="preserve">Article 6: Fiduciary Duties</w:t>
      </w:r>
    </w:p>
    <w:p>
      <w:pPr>
        <w:spacing w:after="120"/>
      </w:pPr>
      <w:r>
        <w:t xml:space="preserve">Pursuant to W.S. 17-31-106(a), the fiduciary duties of Members are modified as follows:</w:t>
      </w:r>
    </w:p>
    <w:p>
      <w:pPr>
        <w:spacing w:after="120"/>
      </w:pPr>
      <w:r>
        <w:rPr>
          <w:b/>
          <w:bCs/>
        </w:rPr>
        <w:t xml:space="preserve">Duty of Care: </w:t>
      </w:r>
      <w:r>
        <w:t xml:space="preserve">Members and administrators owe a duty of care to act in good faith and with the care that a reasonably prudent person in a similar position would exercise.</w:t>
      </w:r>
    </w:p>
    <w:p>
      <w:pPr>
        <w:spacing w:after="120"/>
      </w:pPr>
      <w:r>
        <w:rPr>
          <w:b/>
          <w:bCs/>
        </w:rPr>
        <w:t xml:space="preserve">Duty of Loyalty: </w:t>
      </w:r>
      <w:r>
        <w:t xml:space="preserve">Members and administrators owe a duty of loyalty requiring them to act in the best interests of the Company and not to usurp Company opportunities or engage in self-dealing.</w:t>
      </w:r>
    </w:p>
    <w:p>
      <w:pPr>
        <w:spacing w:after="120"/>
      </w:pPr>
      <w:r>
        <w:rPr>
          <w:b/>
          <w:bCs/>
        </w:rPr>
        <w:t xml:space="preserve">On-Chain Actions: </w:t>
      </w:r>
      <w:r>
        <w:t xml:space="preserve">Voting on Proposals through the Governance Smart Contract in accordance with the token holder’s individual interest does not constitute a breach of fiduciary duty.</w:t>
      </w:r>
    </w:p>
    <w:p>
      <w:pPr>
        <w:pStyle w:val="Heading1"/>
      </w:pPr>
      <w:r>
        <w:t xml:space="preserve">Article 7: Records, Reporting, and Transparency</w:t>
      </w:r>
    </w:p>
    <w:p>
      <w:pPr>
        <w:spacing w:after="120"/>
      </w:pPr>
      <w:r>
        <w:t xml:space="preserve">The Company shall maintain records as required by W.S. 17-29-305 and make available: Articles and amendments, this Agreement, Smart Contract source code, annual financial statements, on-chain governance records, tax filings, and a register of Members.</w:t>
      </w:r>
    </w:p>
    <w:p>
      <w:pPr>
        <w:pStyle w:val="Heading1"/>
      </w:pPr>
      <w:r>
        <w:t xml:space="preserve">Article 8: Indemnification</w:t>
      </w:r>
    </w:p>
    <w:p>
      <w:pPr>
        <w:spacing w:after="120"/>
      </w:pPr>
      <w:r>
        <w:t xml:space="preserve">The Company shall indemnify and hold harmless each Member, manager, officer, and administrator from and against any losses, claims, damages, liabilities, and expenses arising from any action taken in good faith on behalf of the Company, to the fullest extent permitted by Wyoming law.</w:t>
      </w:r>
    </w:p>
    <w:p>
      <w:pPr>
        <w:pStyle w:val="Heading1"/>
      </w:pPr>
      <w:r>
        <w:t xml:space="preserve">Article 9: Dissolution and Winding Up</w:t>
      </w:r>
    </w:p>
    <w:p>
      <w:pPr>
        <w:spacing w:after="120"/>
      </w:pPr>
      <w:r>
        <w:t xml:space="preserve">The Company may be dissolved upon: Supermajority Vote, judicial dissolution under W.S. 17-29-701, or events specified in the Governance Smart Contract. Upon dissolution, the Company shall wind up its affairs, pay all debts, and distribute remaining assets to Members pro rata based on token holdings.</w:t>
      </w:r>
    </w:p>
    <w:p>
      <w:pPr>
        <w:pStyle w:val="Heading1"/>
      </w:pPr>
      <w:r>
        <w:t xml:space="preserve">Article 10: Miscellaneous</w:t>
      </w:r>
    </w:p>
    <w:p>
      <w:pPr>
        <w:spacing w:after="120"/>
      </w:pPr>
      <w:r>
        <w:rPr>
          <w:b/>
          <w:bCs/>
        </w:rPr>
        <w:t xml:space="preserve">Governing Law: </w:t>
      </w:r>
      <w:r>
        <w:t xml:space="preserve">State of Wyoming.</w:t>
      </w:r>
    </w:p>
    <w:p>
      <w:pPr>
        <w:spacing w:after="120"/>
      </w:pPr>
      <w:r>
        <w:rPr>
          <w:b/>
          <w:bCs/>
        </w:rPr>
        <w:t xml:space="preserve">Dispute Resolution: </w:t>
      </w:r>
      <w:r>
        <w:t xml:space="preserve">Mediation first, then binding arbitration (American Arbitration Association, Cheyenne, Wyoming).</w:t>
      </w:r>
    </w:p>
    <w:p>
      <w:pPr>
        <w:spacing w:after="120"/>
      </w:pPr>
      <w:r>
        <w:rPr>
          <w:b/>
          <w:bCs/>
        </w:rPr>
        <w:t xml:space="preserve">Amendments: </w:t>
      </w:r>
      <w:r>
        <w:t xml:space="preserve">Supermajority Vote required, with amendments recorded on-chain where applicable.</w:t>
      </w:r>
    </w:p>
    <w:p>
      <w:pPr>
        <w:spacing w:after="120"/>
      </w:pPr>
      <w:r>
        <w:rPr>
          <w:b/>
          <w:bCs/>
        </w:rPr>
        <w:t xml:space="preserve">Tax Elections: </w:t>
      </w:r>
      <w:r>
        <w:t xml:space="preserve">The Company shall make tax elections as the Members may determine by Majority Vote.</w:t>
      </w:r>
    </w:p>
    <w:p>
      <w:pPr>
        <w:spacing w:after="120"/>
      </w:pPr>
      <w:r>
        <w:rPr>
          <w:b/>
          <w:bCs/>
          <w:i/>
          <w:iCs/>
          <w:color w:val="1F4D78"/>
        </w:rPr>
        <w:t xml:space="preserve">ATTORNEY NOTE: </w:t>
      </w:r>
      <w:r>
        <w:rPr>
          <w:i/>
          <w:iCs/>
          <w:color w:val="666666"/>
        </w:rPr>
        <w:t xml:space="preserve">Tax counsel should advise on optimal entity classification based on membership structure and fundraising plans.</w:t>
      </w:r>
    </w:p>
    <w:p>
      <w:pPr>
        <w:pBdr>
          <w:bottom w:val="single" w:color="E0E0E0" w:sz="4" w:space="4"/>
        </w:pBdr>
        <w:spacing w:after="200" w:before="200"/>
      </w:pPr>
    </w:p>
    <w:p>
      <w:pPr>
        <w:pStyle w:val="Heading2"/>
      </w:pPr>
      <w:r>
        <w:t xml:space="preserve">Signature Page</w:t>
      </w:r>
    </w:p>
    <w:p>
      <w:pPr>
        <w:spacing w:after="120"/>
      </w:pPr>
      <w:r>
        <w:t xml:space="preserve">IN WITNESS WHEREOF, the undersigned Members have executed this Operating Agreement effective as of the date first written above.</w:t>
      </w:r>
    </w:p>
    <w:p>
      <w:pPr>
        <w:spacing w:before="100"/>
      </w:pPr>
    </w:p>
    <w:p>
      <w:pPr>
        <w:spacing w:after="120"/>
      </w:pPr>
      <w:r>
        <w:rPr>
          <w:b/>
          <w:bCs/>
        </w:rPr>
        <w:t xml:space="preserve">FOUNDER MEMBER:</w:t>
      </w:r>
    </w:p>
    <w:p>
      <w:pPr>
        <w:spacing w:before="200"/>
      </w:pPr>
    </w:p>
    <w:p>
      <w:pPr>
        <w:spacing w:after="120"/>
      </w:pPr>
      <w:r>
        <w:t xml:space="preserve">_________________________________________</w:t>
      </w:r>
    </w:p>
    <w:p>
      <w:pPr>
        <w:spacing w:after="120"/>
      </w:pPr>
      <w:r>
        <w:rPr>
          <w:b/>
          <w:bCs/>
        </w:rPr>
        <w:t xml:space="preserve">Geoffrey C. Lyle</w:t>
      </w:r>
    </w:p>
    <w:p>
      <w:pPr>
        <w:spacing w:after="120"/>
      </w:pPr>
      <w:r>
        <w:rPr>
          <w:b/>
          <w:bCs/>
        </w:rPr>
        <w:t xml:space="preserve">Date: </w:t>
      </w:r>
      <w:r>
        <w:t xml:space="preserve">____________________</w:t>
      </w:r>
    </w:p>
    <w:p>
      <w:pPr>
        <w:spacing w:after="120"/>
      </w:pPr>
      <w:r>
        <w:rPr>
          <w:b/>
          <w:bCs/>
        </w:rPr>
        <w:t xml:space="preserve">Email: </w:t>
      </w:r>
      <w:r>
        <w:t xml:space="preserve">gclyle@growdirect.io</w:t>
      </w:r>
    </w:p>
    <w:p>
      <w:pPr>
        <w:spacing w:before="200"/>
      </w:pPr>
    </w:p>
    <w:p>
      <w:pPr>
        <w:spacing w:after="120"/>
      </w:pPr>
      <w:r>
        <w:rPr>
          <w:b/>
          <w:bCs/>
        </w:rPr>
        <w:t xml:space="preserve">ADDITIONAL MEMBERS (as admitted per Article 3):</w:t>
      </w:r>
    </w:p>
    <w:p>
      <w:pPr>
        <w:spacing w:before="200"/>
      </w:pPr>
    </w:p>
    <w:p>
      <w:pPr>
        <w:spacing w:after="120"/>
      </w:pPr>
      <w:r>
        <w:t xml:space="preserve">_________________________________________</w:t>
      </w:r>
    </w:p>
    <w:p>
      <w:pPr>
        <w:spacing w:after="120"/>
      </w:pPr>
      <w:r>
        <w:rPr>
          <w:b/>
          <w:bCs/>
        </w:rPr>
        <w:t xml:space="preserve">Name: </w:t>
      </w:r>
      <w:r>
        <w:t xml:space="preserve">____________________</w:t>
      </w:r>
    </w:p>
    <w:p>
      <w:pPr>
        <w:spacing w:after="120"/>
      </w:pPr>
      <w:r>
        <w:rPr>
          <w:b/>
          <w:bCs/>
        </w:rPr>
        <w:t xml:space="preserve">Date: </w:t>
      </w:r>
      <w:r>
        <w:t xml:space="preserve">____________________</w:t>
      </w:r>
    </w:p>
    <w:p>
      <w:pPr>
        <w:spacing w:after="120"/>
      </w:pPr>
      <w:r>
        <w:rPr>
          <w:b/>
          <w:bCs/>
        </w:rPr>
        <w:t xml:space="preserve">Token Allocation: </w:t>
      </w:r>
      <w:r>
        <w:t xml:space="preserve">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FBBF2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FBBF24"/>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2026-02-25T03:18:46.239Z</dcterms:created>
  <dcterms:modified xsi:type="dcterms:W3CDTF">2026-02-25T03:18:46.239Z</dcterms:modified>
</cp:coreProperties>
</file>

<file path=docProps/custom.xml><?xml version="1.0" encoding="utf-8"?>
<Properties xmlns="http://schemas.openxmlformats.org/officeDocument/2006/custom-properties" xmlns:vt="http://schemas.openxmlformats.org/officeDocument/2006/docPropsVTypes"/>
</file>