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F59E0B"/>
          <w:sz w:val="56"/>
          <w:szCs w:val="56"/>
        </w:rPr>
        <w:t xml:space="preserve">GROWDIRECT</w:t>
      </w:r>
    </w:p>
    <w:p>
      <w:pPr>
        <w:spacing w:after="80"/>
      </w:pPr>
    </w:p>
    <w:p>
      <w:pPr>
        <w:jc w:val="center"/>
      </w:pPr>
      <w:r>
        <w:rPr>
          <w:rFonts w:ascii="Arial" w:cs="Arial" w:eastAsia="Arial" w:hAnsi="Arial"/>
          <w:color w:val="FFFFFF"/>
          <w:sz w:val="36"/>
          <w:szCs w:val="36"/>
        </w:rPr>
        <w:t xml:space="preserve">B-077 PhD Research Package</w:t>
      </w:r>
    </w:p>
    <w:p>
      <w:pPr>
        <w:spacing w:after="80"/>
      </w:pPr>
    </w:p>
    <w:p>
      <w:pPr>
        <w:jc w:val="center"/>
      </w:pPr>
      <w:r>
        <w:rPr>
          <w:rFonts w:ascii="Arial" w:cs="Arial" w:eastAsia="Arial" w:hAnsi="Arial"/>
          <w:color w:val="8B949E"/>
          <w:sz w:val="28"/>
          <w:szCs w:val="28"/>
        </w:rPr>
        <w:t xml:space="preserve">Offline Review Set for Jeffe + Syd</w:t>
      </w:r>
    </w:p>
    <w:p>
      <w:pPr>
        <w:spacing w:after="80"/>
      </w:pPr>
    </w:p>
    <w:p>
      <w:pPr>
        <w:spacing w:after="80"/>
      </w:pPr>
    </w:p>
    <w:p>
      <w:pPr>
        <w:spacing w:after="80"/>
      </w:pPr>
    </w:p>
    <w:p>
      <w:pPr>
        <w:pBdr>
          <w:bottom w:val="single" w:color="30363D" w:sz="2" w:space="8"/>
        </w:pBdr>
        <w:spacing w:after="200" w:before="200"/>
      </w:pPr>
    </w:p>
    <w:p>
      <w:pPr>
        <w:spacing w:after="80"/>
      </w:pPr>
    </w:p>
    <w:p>
      <w:pPr>
        <w:jc w:val="center"/>
      </w:pPr>
      <w:r>
        <w:rPr>
          <w:rFonts w:ascii="Arial" w:cs="Arial" w:eastAsia="Arial" w:hAnsi="Arial"/>
          <w:color w:val="8B949E"/>
          <w:sz w:val="24"/>
          <w:szCs w:val="24"/>
        </w:rPr>
        <w:t xml:space="preserve">March 1, 2026</w:t>
      </w:r>
    </w:p>
    <w:p>
      <w:pPr>
        <w:spacing w:after="80"/>
      </w:pPr>
    </w:p>
    <w:p>
      <w:pPr>
        <w:jc w:val="center"/>
      </w:pPr>
      <w:r>
        <w:rPr>
          <w:rFonts w:ascii="Arial" w:cs="Arial" w:eastAsia="Arial" w:hAnsi="Arial"/>
          <w:color w:val="8B949E"/>
          <w:sz w:val="20"/>
          <w:szCs w:val="20"/>
        </w:rPr>
        <w:t xml:space="preserve">4 Deliverables  |  ~999 lines  |  All Syd-Gated</w:t>
      </w:r>
    </w:p>
    <w:p>
      <w:pPr>
        <w:spacing w:after="80"/>
      </w:pPr>
    </w:p>
    <w:p>
      <w:pPr>
        <w:spacing w:after="80"/>
      </w:pP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85149" w:sz="2"/>
              <w:left w:val="single" w:color="F85149" w:sz="2"/>
              <w:bottom w:val="single" w:color="F85149" w:sz="2"/>
              <w:right w:val="single" w:color="F85149" w:sz="2"/>
            </w:tcBorders>
            <w:shd w:fill="1C1014" w:val="clear"/>
            <w:tcMar>
              <w:top w:type="dxa" w:w="120"/>
              <w:left w:type="dxa" w:w="200"/>
              <w:bottom w:type="dxa" w:w="120"/>
              <w:right w:type="dxa" w:w="200"/>
            </w:tcMar>
          </w:tcPr>
          <w:p>
            <w:pPr>
              <w:jc w:val="center"/>
            </w:pPr>
            <w:r>
              <w:rPr>
                <w:rFonts w:ascii="Arial" w:cs="Arial" w:eastAsia="Arial" w:hAnsi="Arial"/>
                <w:b/>
                <w:bCs/>
                <w:color w:val="F85149"/>
                <w:sz w:val="24"/>
                <w:szCs w:val="24"/>
              </w:rPr>
              <w:t xml:space="preserve">MAXIMUM CONFIDENTIAL</w:t>
            </w:r>
          </w:p>
          <w:p>
            <w:pPr>
              <w:spacing w:before="80"/>
              <w:jc w:val="center"/>
            </w:pPr>
            <w:r>
              <w:rPr>
                <w:rFonts w:ascii="Arial" w:cs="Arial" w:eastAsia="Arial" w:hAnsi="Arial"/>
                <w:color w:val="FFFFFF"/>
                <w:sz w:val="20"/>
                <w:szCs w:val="20"/>
              </w:rPr>
              <w:t xml:space="preserve">Nothing in this package goes external without Syd sign-off.</w:t>
            </w:r>
          </w:p>
        </w:tc>
      </w:tr>
    </w:tbl>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200" w:before="360"/>
      </w:pPr>
      <w:r>
        <w:rPr>
          <w:rFonts w:ascii="Arial" w:cs="Arial" w:eastAsia="Arial" w:hAnsi="Arial"/>
          <w:b/>
          <w:bCs/>
          <w:color w:val="F59E0B"/>
          <w:sz w:val="36"/>
          <w:szCs w:val="36"/>
        </w:rPr>
        <w:t xml:space="preserve">Routing Memo</w:t>
      </w:r>
    </w:p>
    <w:p>
      <w:pPr>
        <w:spacing w:after="80"/>
      </w:pPr>
    </w:p>
    <w:p>
      <w:pPr>
        <w:spacing w:after="120"/>
      </w:pPr>
      <w:r>
        <w:rPr>
          <w:rFonts w:ascii="Arial" w:cs="Arial" w:eastAsia="Arial" w:hAnsi="Arial"/>
          <w:b/>
          <w:bCs/>
          <w:i w:val="false"/>
          <w:iCs w:val="false"/>
          <w:color w:val="F59E0B"/>
          <w:sz w:val="22"/>
          <w:szCs w:val="22"/>
        </w:rPr>
        <w:t xml:space="preserve">Jeffe: </w:t>
      </w:r>
      <w:r>
        <w:rPr>
          <w:rFonts w:ascii="Arial" w:cs="Arial" w:eastAsia="Arial" w:hAnsi="Arial"/>
          <w:b w:val="false"/>
          <w:bCs w:val="false"/>
          <w:i w:val="false"/>
          <w:iCs w:val="false"/>
          <w:color w:val="FFFFFF"/>
          <w:sz w:val="22"/>
          <w:szCs w:val="22"/>
        </w:rPr>
        <w:t xml:space="preserve">Read all four. The headlines are in the callout boxes. The math is behind them. Tell PhD where the framing is wrong or where you want more.</w:t>
      </w:r>
    </w:p>
    <w:p>
      <w:pPr>
        <w:spacing w:after="80"/>
      </w:pPr>
    </w:p>
    <w:p>
      <w:pPr>
        <w:spacing w:after="120"/>
      </w:pPr>
      <w:r>
        <w:rPr>
          <w:rFonts w:ascii="Arial" w:cs="Arial" w:eastAsia="Arial" w:hAnsi="Arial"/>
          <w:b/>
          <w:bCs/>
          <w:i w:val="false"/>
          <w:iCs w:val="false"/>
          <w:color w:val="F59E0B"/>
          <w:sz w:val="22"/>
          <w:szCs w:val="22"/>
        </w:rPr>
        <w:t xml:space="preserve">Syd: </w:t>
      </w:r>
      <w:r>
        <w:rPr>
          <w:rFonts w:ascii="Arial" w:cs="Arial" w:eastAsia="Arial" w:hAnsi="Arial"/>
          <w:b w:val="false"/>
          <w:bCs w:val="false"/>
          <w:i w:val="false"/>
          <w:iCs w:val="false"/>
          <w:color w:val="FFFFFF"/>
          <w:sz w:val="22"/>
          <w:szCs w:val="22"/>
        </w:rPr>
        <w:t xml:space="preserve">You are the gate. Nothing in this package goes to Art, Jess, Will, or any external channel until you clear it. Task 3 (RaaS) flagged 6 legal questions. Task 4 (Position Paper) needs your Section 11 disclosure boundary ruling before PhD writes Sections 5–12.</w:t>
      </w:r>
    </w:p>
    <w:p>
      <w:pPr>
        <w:spacing w:after="80"/>
      </w:pPr>
    </w:p>
    <w:p>
      <w:pPr>
        <w:pBdr>
          <w:bottom w:val="single" w:color="30363D" w:sz="2" w:space="8"/>
        </w:pBdr>
        <w:spacing w:after="200" w:before="200"/>
      </w:pPr>
    </w:p>
    <w:p>
      <w:pPr>
        <w:spacing w:after="160" w:before="280"/>
      </w:pPr>
      <w:r>
        <w:rPr>
          <w:rFonts w:ascii="Arial" w:cs="Arial" w:eastAsia="Arial" w:hAnsi="Arial"/>
          <w:b/>
          <w:bCs/>
          <w:color w:val="FFFFFF"/>
          <w:sz w:val="28"/>
          <w:szCs w:val="28"/>
        </w:rPr>
        <w:t xml:space="preserve">Contents</w:t>
      </w:r>
    </w:p>
    <w:p>
      <w:pPr>
        <w:spacing w:after="80"/>
      </w:pPr>
    </w:p>
    <w:p>
      <w:pPr>
        <w:spacing w:after="120"/>
      </w:pPr>
      <w:r>
        <w:rPr>
          <w:rFonts w:ascii="Arial" w:cs="Arial" w:eastAsia="Arial" w:hAnsi="Arial"/>
          <w:b/>
          <w:bCs/>
          <w:i w:val="false"/>
          <w:iCs w:val="false"/>
          <w:color w:val="F59E0B"/>
          <w:sz w:val="22"/>
          <w:szCs w:val="22"/>
        </w:rPr>
        <w:t xml:space="preserve">Task 1 </w:t>
      </w:r>
      <w:r>
        <w:rPr>
          <w:rFonts w:ascii="Arial" w:cs="Arial" w:eastAsia="Arial" w:hAnsi="Arial"/>
          <w:b w:val="false"/>
          <w:bCs w:val="false"/>
          <w:i w:val="false"/>
          <w:iCs w:val="false"/>
          <w:color w:val="FFFFFF"/>
          <w:sz w:val="22"/>
          <w:szCs w:val="22"/>
        </w:rPr>
        <w:t xml:space="preserve">—  “Why 17?” Convergence Analysis</w:t>
      </w:r>
      <w:r>
        <w:rPr>
          <w:rFonts w:ascii="Arial" w:cs="Arial" w:eastAsia="Arial" w:hAnsi="Arial"/>
          <w:b w:val="false"/>
          <w:bCs w:val="false"/>
          <w:i w:val="false"/>
          <w:iCs w:val="false"/>
          <w:color w:val="8B949E"/>
          <w:sz w:val="22"/>
          <w:szCs w:val="22"/>
        </w:rPr>
        <w:t xml:space="preserve">  (378 lines)</w:t>
      </w:r>
    </w:p>
    <w:p>
      <w:pPr>
        <w:spacing w:after="120"/>
      </w:pPr>
      <w:r>
        <w:rPr>
          <w:rFonts w:ascii="Arial" w:cs="Arial" w:eastAsia="Arial" w:hAnsi="Arial"/>
          <w:b w:val="false"/>
          <w:bCs w:val="false"/>
          <w:i w:val="false"/>
          <w:iCs w:val="false"/>
          <w:color w:val="FFFFFF"/>
          <w:sz w:val="22"/>
          <w:szCs w:val="22"/>
        </w:rPr>
        <w:t xml:space="preserve">Three independent economic models converge at 17 merchants. Range: 12–24. Center of gravity: 17. Binding constraint: Genesis Pool self-replenishment at future fee levels with 1.5x safety factor.</w:t>
      </w:r>
    </w:p>
    <w:p>
      <w:pPr>
        <w:spacing w:after="80"/>
      </w:pPr>
    </w:p>
    <w:p>
      <w:pPr>
        <w:spacing w:after="120"/>
      </w:pPr>
      <w:r>
        <w:rPr>
          <w:rFonts w:ascii="Arial" w:cs="Arial" w:eastAsia="Arial" w:hAnsi="Arial"/>
          <w:b/>
          <w:bCs/>
          <w:i w:val="false"/>
          <w:iCs w:val="false"/>
          <w:color w:val="F59E0B"/>
          <w:sz w:val="22"/>
          <w:szCs w:val="22"/>
        </w:rPr>
        <w:t xml:space="preserve">Task 2 </w:t>
      </w:r>
      <w:r>
        <w:rPr>
          <w:rFonts w:ascii="Arial" w:cs="Arial" w:eastAsia="Arial" w:hAnsi="Arial"/>
          <w:b w:val="false"/>
          <w:bCs w:val="false"/>
          <w:i w:val="false"/>
          <w:iCs w:val="false"/>
          <w:color w:val="FFFFFF"/>
          <w:sz w:val="22"/>
          <w:szCs w:val="22"/>
        </w:rPr>
        <w:t xml:space="preserve">—  Metcalfe’s Law Genesis Pool Model</w:t>
      </w:r>
      <w:r>
        <w:rPr>
          <w:rFonts w:ascii="Arial" w:cs="Arial" w:eastAsia="Arial" w:hAnsi="Arial"/>
          <w:b w:val="false"/>
          <w:bCs w:val="false"/>
          <w:i w:val="false"/>
          <w:iCs w:val="false"/>
          <w:color w:val="8B949E"/>
          <w:sz w:val="22"/>
          <w:szCs w:val="22"/>
        </w:rPr>
        <w:t xml:space="preserve">  (246 lines)</w:t>
      </w:r>
    </w:p>
    <w:p>
      <w:pPr>
        <w:spacing w:after="120"/>
      </w:pPr>
      <w:r>
        <w:rPr>
          <w:rFonts w:ascii="Arial" w:cs="Arial" w:eastAsia="Arial" w:hAnsi="Arial"/>
          <w:b w:val="false"/>
          <w:bCs w:val="false"/>
          <w:i w:val="false"/>
          <w:iCs w:val="false"/>
          <w:color w:val="FFFFFF"/>
          <w:sz w:val="22"/>
          <w:szCs w:val="22"/>
        </w:rPr>
        <w:t xml:space="preserve">Retires static “$430K at $4,300/BTC.” At 350 merchants (month 18), network valuation exceeds static BTC by 69x. Crossover at ~50 merchants. Replacement language for Manifesto IV.1 included.</w:t>
      </w:r>
    </w:p>
    <w:p>
      <w:pPr>
        <w:spacing w:after="80"/>
      </w:pPr>
    </w:p>
    <w:p>
      <w:pPr>
        <w:spacing w:after="120"/>
      </w:pPr>
      <w:r>
        <w:rPr>
          <w:rFonts w:ascii="Arial" w:cs="Arial" w:eastAsia="Arial" w:hAnsi="Arial"/>
          <w:b/>
          <w:bCs/>
          <w:i w:val="false"/>
          <w:iCs w:val="false"/>
          <w:color w:val="F59E0B"/>
          <w:sz w:val="22"/>
          <w:szCs w:val="22"/>
        </w:rPr>
        <w:t xml:space="preserve">Task 3 </w:t>
      </w:r>
      <w:r>
        <w:rPr>
          <w:rFonts w:ascii="Arial" w:cs="Arial" w:eastAsia="Arial" w:hAnsi="Arial"/>
          <w:b w:val="false"/>
          <w:bCs w:val="false"/>
          <w:i w:val="false"/>
          <w:iCs w:val="false"/>
          <w:color w:val="FFFFFF"/>
          <w:sz w:val="22"/>
          <w:szCs w:val="22"/>
        </w:rPr>
        <w:t xml:space="preserve">—  RaaS Manifesto Section IV.3.1</w:t>
      </w:r>
      <w:r>
        <w:rPr>
          <w:rFonts w:ascii="Arial" w:cs="Arial" w:eastAsia="Arial" w:hAnsi="Arial"/>
          <w:b w:val="false"/>
          <w:bCs w:val="false"/>
          <w:i w:val="false"/>
          <w:iCs w:val="false"/>
          <w:color w:val="8B949E"/>
          <w:sz w:val="22"/>
          <w:szCs w:val="22"/>
        </w:rPr>
        <w:t xml:space="preserve">  (139 lines)</w:t>
      </w:r>
    </w:p>
    <w:p>
      <w:pPr>
        <w:spacing w:after="120"/>
      </w:pPr>
      <w:r>
        <w:rPr>
          <w:rFonts w:ascii="Arial" w:cs="Arial" w:eastAsia="Arial" w:hAnsi="Arial"/>
          <w:b w:val="false"/>
          <w:bCs w:val="false"/>
          <w:i w:val="false"/>
          <w:iCs w:val="false"/>
          <w:color w:val="FFFFFF"/>
          <w:sz w:val="22"/>
          <w:szCs w:val="22"/>
        </w:rPr>
        <w:t xml:space="preserve">Receipt-as-a-Service positioned as emergent capability of existing architecture. API surface defined. Five customer segments. Insert after IV.3 (Validation Gate). Key sentence: “Any POS. Any merchant. One API call.”</w:t>
      </w:r>
    </w:p>
    <w:p>
      <w:pPr>
        <w:spacing w:after="80"/>
      </w:pPr>
    </w:p>
    <w:p>
      <w:pPr>
        <w:spacing w:after="120"/>
      </w:pPr>
      <w:r>
        <w:rPr>
          <w:rFonts w:ascii="Arial" w:cs="Arial" w:eastAsia="Arial" w:hAnsi="Arial"/>
          <w:b/>
          <w:bCs/>
          <w:i w:val="false"/>
          <w:iCs w:val="false"/>
          <w:color w:val="F59E0B"/>
          <w:sz w:val="22"/>
          <w:szCs w:val="22"/>
        </w:rPr>
        <w:t xml:space="preserve">Task 4 </w:t>
      </w:r>
      <w:r>
        <w:rPr>
          <w:rFonts w:ascii="Arial" w:cs="Arial" w:eastAsia="Arial" w:hAnsi="Arial"/>
          <w:b w:val="false"/>
          <w:bCs w:val="false"/>
          <w:i w:val="false"/>
          <w:iCs w:val="false"/>
          <w:color w:val="FFFFFF"/>
          <w:sz w:val="22"/>
          <w:szCs w:val="22"/>
        </w:rPr>
        <w:t xml:space="preserve">—  Position Paper Sections 0–4 DRAFT</w:t>
      </w:r>
      <w:r>
        <w:rPr>
          <w:rFonts w:ascii="Arial" w:cs="Arial" w:eastAsia="Arial" w:hAnsi="Arial"/>
          <w:b w:val="false"/>
          <w:bCs w:val="false"/>
          <w:i w:val="false"/>
          <w:iCs w:val="false"/>
          <w:color w:val="8B949E"/>
          <w:sz w:val="22"/>
          <w:szCs w:val="22"/>
        </w:rPr>
        <w:t xml:space="preserve">  (~4,100 words)</w:t>
      </w:r>
    </w:p>
    <w:p>
      <w:pPr>
        <w:spacing w:after="120"/>
      </w:pPr>
      <w:r>
        <w:rPr>
          <w:rFonts w:ascii="Arial" w:cs="Arial" w:eastAsia="Arial" w:hAnsi="Arial"/>
          <w:b w:val="false"/>
          <w:bCs w:val="false"/>
          <w:i w:val="false"/>
          <w:iCs w:val="false"/>
          <w:color w:val="FFFFFF"/>
          <w:sz w:val="22"/>
          <w:szCs w:val="22"/>
        </w:rPr>
        <w:t xml:space="preserve">RaaS position paper. Abstract through Hybrid Chain Design. Internal draft — no patent claims disclosed. Section 11 BLOCKED on Syd.</w:t>
      </w:r>
    </w:p>
    <w:p>
      <w:pPr>
        <w:spacing w:after="80"/>
      </w:pPr>
    </w:p>
    <w:p>
      <w:pPr>
        <w:pBdr>
          <w:bottom w:val="single" w:color="30363D" w:sz="2" w:space="8"/>
        </w:pBdr>
        <w:spacing w:after="200" w:before="200"/>
      </w:pPr>
    </w:p>
    <w:p>
      <w:pPr>
        <w:spacing w:after="160" w:before="280"/>
      </w:pPr>
      <w:r>
        <w:rPr>
          <w:rFonts w:ascii="Arial" w:cs="Arial" w:eastAsia="Arial" w:hAnsi="Arial"/>
          <w:b/>
          <w:bCs/>
          <w:color w:val="FFFFFF"/>
          <w:sz w:val="28"/>
          <w:szCs w:val="28"/>
        </w:rPr>
        <w:t xml:space="preserve">Downstream Routing (After Syd Clears)</w:t>
      </w:r>
    </w:p>
    <w:p>
      <w:pPr>
        <w:spacing w:after="80"/>
      </w:pPr>
    </w:p>
    <w:p>
      <w:pPr>
        <w:spacing w:after="120"/>
      </w:pPr>
      <w:r>
        <w:rPr>
          <w:rFonts w:ascii="Arial" w:cs="Arial" w:eastAsia="Arial" w:hAnsi="Arial"/>
          <w:b/>
          <w:bCs/>
          <w:i w:val="false"/>
          <w:iCs w:val="false"/>
          <w:color w:val="F59E0B"/>
          <w:sz w:val="22"/>
          <w:szCs w:val="22"/>
        </w:rPr>
        <w:t xml:space="preserve">Art: </w:t>
      </w:r>
      <w:r>
        <w:rPr>
          <w:rFonts w:ascii="Arial" w:cs="Arial" w:eastAsia="Arial" w:hAnsi="Arial"/>
          <w:b w:val="false"/>
          <w:bCs w:val="false"/>
          <w:i w:val="false"/>
          <w:iCs w:val="false"/>
          <w:color w:val="FFFFFF"/>
          <w:sz w:val="22"/>
          <w:szCs w:val="22"/>
        </w:rPr>
        <w:t xml:space="preserve">“Why 17” slide for investor deck v1.1. Genesis Pool divergence chart (Task 2 figure). RaaS diagram (Canary LP → elJeffe → RaaS → every POS).</w:t>
      </w:r>
    </w:p>
    <w:p>
      <w:pPr>
        <w:spacing w:after="120"/>
      </w:pPr>
      <w:r>
        <w:rPr>
          <w:rFonts w:ascii="Arial" w:cs="Arial" w:eastAsia="Arial" w:hAnsi="Arial"/>
          <w:b/>
          <w:bCs/>
          <w:i w:val="false"/>
          <w:iCs w:val="false"/>
          <w:color w:val="F59E0B"/>
          <w:sz w:val="22"/>
          <w:szCs w:val="22"/>
        </w:rPr>
        <w:t xml:space="preserve">Jess: </w:t>
      </w:r>
      <w:r>
        <w:rPr>
          <w:rFonts w:ascii="Arial" w:cs="Arial" w:eastAsia="Arial" w:hAnsi="Arial"/>
          <w:b w:val="false"/>
          <w:bCs w:val="false"/>
          <w:i w:val="false"/>
          <w:iCs w:val="false"/>
          <w:color w:val="FFFFFF"/>
          <w:sz w:val="22"/>
          <w:szCs w:val="22"/>
        </w:rPr>
        <w:t xml:space="preserve">Replace “$430K” in all investor materials. Integrate RaaS language into War Chest. Source 56 or addendum to Source 55. Investor site v4.0 update with RaaS positioning.</w:t>
      </w:r>
    </w:p>
    <w:p>
      <w:pPr>
        <w:spacing w:after="120"/>
      </w:pPr>
      <w:r>
        <w:rPr>
          <w:rFonts w:ascii="Arial" w:cs="Arial" w:eastAsia="Arial" w:hAnsi="Arial"/>
          <w:b/>
          <w:bCs/>
          <w:i w:val="false"/>
          <w:iCs w:val="false"/>
          <w:color w:val="F59E0B"/>
          <w:sz w:val="22"/>
          <w:szCs w:val="22"/>
        </w:rPr>
        <w:t xml:space="preserve">Will: </w:t>
      </w:r>
      <w:r>
        <w:rPr>
          <w:rFonts w:ascii="Arial" w:cs="Arial" w:eastAsia="Arial" w:hAnsi="Arial"/>
          <w:b w:val="false"/>
          <w:bCs w:val="false"/>
          <w:i w:val="false"/>
          <w:iCs w:val="false"/>
          <w:color w:val="FFFFFF"/>
          <w:sz w:val="22"/>
          <w:szCs w:val="22"/>
        </w:rPr>
        <w:t xml:space="preserve">Lead gen talking point shifts: “Self-sustaining at 17 merchants.” Hook changes from namespace to API: “Any POS, any merchant, one API call.”</w:t>
      </w:r>
    </w:p>
    <w:p>
      <w:pPr>
        <w:spacing w:after="120"/>
      </w:pPr>
      <w:r>
        <w:rPr>
          <w:rFonts w:ascii="Arial" w:cs="Arial" w:eastAsia="Arial" w:hAnsi="Arial"/>
          <w:b/>
          <w:bCs/>
          <w:i w:val="false"/>
          <w:iCs w:val="false"/>
          <w:color w:val="F59E0B"/>
          <w:sz w:val="22"/>
          <w:szCs w:val="22"/>
        </w:rPr>
        <w:t xml:space="preserve">Tom: </w:t>
      </w:r>
      <w:r>
        <w:rPr>
          <w:rFonts w:ascii="Arial" w:cs="Arial" w:eastAsia="Arial" w:hAnsi="Arial"/>
          <w:b w:val="false"/>
          <w:bCs w:val="false"/>
          <w:i w:val="false"/>
          <w:iCs w:val="false"/>
          <w:color w:val="FFFFFF"/>
          <w:sz w:val="22"/>
          <w:szCs w:val="22"/>
        </w:rPr>
        <w:t xml:space="preserve">RaaS API design — POST /verify + GET /receipt/{name}. L402 gate integration. Swagger schema. Validate hybrid chain economics against B-072 architecture.</w:t>
      </w:r>
    </w:p>
    <w:p>
      <w:pPr>
        <w:spacing w:after="120"/>
      </w:pPr>
      <w:r>
        <w:rPr>
          <w:rFonts w:ascii="Arial" w:cs="Arial" w:eastAsia="Arial" w:hAnsi="Arial"/>
          <w:b/>
          <w:bCs/>
          <w:i w:val="false"/>
          <w:iCs w:val="false"/>
          <w:color w:val="F59E0B"/>
          <w:sz w:val="22"/>
          <w:szCs w:val="22"/>
        </w:rPr>
        <w:t xml:space="preserve">Jeremy: </w:t>
      </w:r>
      <w:r>
        <w:rPr>
          <w:rFonts w:ascii="Arial" w:cs="Arial" w:eastAsia="Arial" w:hAnsi="Arial"/>
          <w:b w:val="false"/>
          <w:bCs w:val="false"/>
          <w:i w:val="false"/>
          <w:iCs w:val="false"/>
          <w:color w:val="FFFFFF"/>
          <w:sz w:val="22"/>
          <w:szCs w:val="22"/>
        </w:rPr>
        <w:t xml:space="preserve">Validate Section 3 (six-node architecture) and Section 4.3 (hybrid economics) against running code.</w:t>
      </w:r>
    </w:p>
    <w:p>
      <w:pPr>
        <w:spacing w:after="120"/>
      </w:pPr>
      <w:r>
        <w:rPr>
          <w:rFonts w:ascii="Arial" w:cs="Arial" w:eastAsia="Arial" w:hAnsi="Arial"/>
          <w:b/>
          <w:bCs/>
          <w:i w:val="false"/>
          <w:iCs w:val="false"/>
          <w:color w:val="F59E0B"/>
          <w:sz w:val="22"/>
          <w:szCs w:val="22"/>
        </w:rPr>
        <w:t xml:space="preserve">PhD next: </w:t>
      </w:r>
      <w:r>
        <w:rPr>
          <w:rFonts w:ascii="Arial" w:cs="Arial" w:eastAsia="Arial" w:hAnsi="Arial"/>
          <w:b w:val="false"/>
          <w:bCs w:val="false"/>
          <w:i w:val="false"/>
          <w:iCs w:val="false"/>
          <w:color w:val="FFFFFF"/>
          <w:sz w:val="22"/>
          <w:szCs w:val="22"/>
        </w:rPr>
        <w:t xml:space="preserve">Position Paper Sections 5–12 (blocked on Syd’s Section 11 ruling). Syd Patent Brief v1.0. Manifesto v1.2 merge (RaaS IV.3.1 + Metcalfe IV.1 replacement).</w:t>
      </w:r>
    </w:p>
    <w:p>
      <w:pPr>
        <w:spacing w:after="80"/>
      </w:pPr>
    </w:p>
    <w:p>
      <w:r>
        <w:br w:type="page"/>
      </w:r>
    </w:p>
    <w:p>
      <w:pPr>
        <w:sectPr>
          <w:pgSz w:w="12240" w:h="15840" w:orient="portrait"/>
          <w:pgMar w:top="1440" w:right="1440" w:bottom="1440" w:left="1440" w:header="708" w:footer="708" w:gutter="0"/>
          <w:pgNumType/>
          <w:docGrid w:linePitch="360"/>
        </w:sectPr>
      </w:pPr>
    </w:p>
    <w:p>
      <w:pPr>
        <w:spacing w:after="200" w:before="360"/>
      </w:pPr>
      <w:r>
        <w:rPr>
          <w:rFonts w:ascii="Arial" w:cs="Arial" w:eastAsia="Arial" w:hAnsi="Arial"/>
          <w:b/>
          <w:bCs/>
          <w:color w:val="F59E0B"/>
          <w:sz w:val="36"/>
          <w:szCs w:val="36"/>
        </w:rPr>
        <w:t xml:space="preserve">Task 1: “Why 17?” Convergence Analysis</w:t>
      </w:r>
    </w:p>
    <w:p>
      <w:pPr>
        <w:spacing w:after="120"/>
      </w:pPr>
      <w:r>
        <w:rPr>
          <w:rFonts w:ascii="Arial" w:cs="Arial" w:eastAsia="Arial" w:hAnsi="Arial"/>
          <w:b w:val="false"/>
          <w:bCs w:val="false"/>
          <w:i w:val="false"/>
          <w:iCs w:val="false"/>
          <w:color w:val="8B949E"/>
          <w:sz w:val="22"/>
          <w:szCs w:val="22"/>
        </w:rPr>
        <w:t xml:space="preserve">B-077 Task 1  |  PhD  |  March 1, 2026  |  Manifesto: IV.1, IV.7, VI.3</w:t>
      </w:r>
    </w:p>
    <w:p>
      <w:pPr>
        <w:pBdr>
          <w:bottom w:val="single" w:color="30363D" w:sz="2" w:space="8"/>
        </w:pBdr>
        <w:spacing w:after="200" w:before="200"/>
      </w:pPr>
    </w:p>
    <w:p>
      <w:pPr>
        <w:spacing w:after="80"/>
      </w:pP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Executive Summary</w:t>
      </w:r>
    </w:p>
    <w:p>
      <w:pPr>
        <w:spacing w:after="80"/>
      </w:pPr>
    </w:p>
    <w:p>
      <w:pPr>
        <w:spacing w:after="120"/>
      </w:pPr>
      <w:r>
        <w:rPr>
          <w:rFonts w:ascii="Arial" w:cs="Arial" w:eastAsia="Arial" w:hAnsi="Arial"/>
          <w:b w:val="false"/>
          <w:bCs w:val="false"/>
          <w:i w:val="false"/>
          <w:iCs w:val="false"/>
          <w:color w:val="FFFFFF"/>
          <w:sz w:val="22"/>
          <w:szCs w:val="22"/>
        </w:rPr>
        <w:t xml:space="preserve">The number 17 appears independently across three economic models in the GrowDirect corpus. It is not an assumption. It is not a target. It is a convergence point — the merchant count at which the elJeffe protocol becomes self-sustaining under conservative assumptions. PhD has traced each occurrence to its source model, verified the inputs, and determined that the convergence has a structural explanation rooted in the ratio between fixed infrastructure costs and per-merchant marginal revenue. The fact that 17 is also prime is incidental to the economics but resonant for investor communication.</w:t>
      </w:r>
    </w:p>
    <w:p>
      <w:pPr>
        <w:spacing w:after="80"/>
      </w:pPr>
    </w:p>
    <w:p>
      <w:pPr>
        <w:spacing w:after="120"/>
      </w:pPr>
      <w:r>
        <w:rPr>
          <w:rFonts w:ascii="Arial" w:cs="Arial" w:eastAsia="Arial" w:hAnsi="Arial"/>
          <w:b w:val="false"/>
          <w:bCs w:val="false"/>
          <w:i w:val="false"/>
          <w:iCs w:val="false"/>
          <w:color w:val="FFFFFF"/>
          <w:sz w:val="22"/>
          <w:szCs w:val="22"/>
        </w:rPr>
        <w:t xml:space="preserve">Investor sentence: "17 is not a target. It's where the math converges."</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1. The Three Independent Models</w:t>
      </w:r>
    </w:p>
    <w:p>
      <w:pPr>
        <w:spacing w:after="80"/>
      </w:pPr>
    </w:p>
    <w:p>
      <w:pPr>
        <w:spacing w:after="120" w:before="200"/>
      </w:pPr>
      <w:r>
        <w:rPr>
          <w:rFonts w:ascii="Arial" w:cs="Arial" w:eastAsia="Arial" w:hAnsi="Arial"/>
          <w:b/>
          <w:bCs/>
          <w:color w:val="F59E0B"/>
          <w:sz w:val="24"/>
          <w:szCs w:val="24"/>
        </w:rPr>
        <w:t xml:space="preserve">Model A: Genesis Pool Self-Sufficiency (Source: B-069 Hybrid Chain Economics)</w:t>
      </w:r>
    </w:p>
    <w:p>
      <w:pPr>
        <w:spacing w:after="80"/>
      </w:pPr>
    </w:p>
    <w:p>
      <w:pPr>
        <w:spacing w:after="120"/>
      </w:pPr>
      <w:r>
        <w:rPr>
          <w:rFonts w:ascii="Arial" w:cs="Arial" w:eastAsia="Arial" w:hAnsi="Arial"/>
          <w:b w:val="false"/>
          <w:bCs w:val="false"/>
          <w:i w:val="false"/>
          <w:iCs w:val="false"/>
          <w:color w:val="FFFFFF"/>
          <w:sz w:val="22"/>
          <w:szCs w:val="22"/>
        </w:rPr>
        <w:t xml:space="preserve">Question asked: At what merchant count does validation revenue from past inscriptions fully fund future inscription costs, making the protocol independent of subscription revenue for chain operations?</w:t>
      </w:r>
    </w:p>
    <w:p>
      <w:pPr>
        <w:spacing w:after="80"/>
      </w:pPr>
    </w:p>
    <w:p>
      <w:pPr>
        <w:spacing w:after="120"/>
      </w:pPr>
      <w:r>
        <w:rPr>
          <w:rFonts w:ascii="Arial" w:cs="Arial" w:eastAsia="Arial" w:hAnsi="Arial"/>
          <w:b w:val="false"/>
          <w:bCs w:val="false"/>
          <w:i w:val="false"/>
          <w:iCs w:val="false"/>
          <w:color w:val="FFFFFF"/>
          <w:sz w:val="22"/>
          <w:szCs w:val="22"/>
        </w:rPr>
        <w:t xml:space="preserve">Inputs:</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Genesis Pool: 0.1 BTC = 10,000,000 sats</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Allocation: 20% gLog activations (2M sats), 50% daily anchoring (5M sats), 30% reserve (3M sats)</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Daily global Merkle batch cost: ~1,370 sats/day (medium fee, 10 sat/vB)</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L402 validation revenue per merchant: ~$0.50/day (conservative estimate — 10 validation requests/day × $0.05 per request)</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L402 validation revenue per merchant in sats: ~588 sats/day (at $85,000/BTC)</w:t>
      </w:r>
    </w:p>
    <w:p>
      <w:pPr>
        <w:spacing w:after="80"/>
      </w:pPr>
    </w:p>
    <w:p>
      <w:pPr>
        <w:spacing w:after="120"/>
      </w:pPr>
      <w:r>
        <w:rPr>
          <w:rFonts w:ascii="Arial" w:cs="Arial" w:eastAsia="Arial" w:hAnsi="Arial"/>
          <w:b w:val="false"/>
          <w:bCs w:val="false"/>
          <w:i w:val="false"/>
          <w:iCs w:val="false"/>
          <w:color w:val="FFFFFF"/>
          <w:sz w:val="22"/>
          <w:szCs w:val="22"/>
        </w:rPr>
        <w:t xml:space="preserve">The equation:</w:t>
      </w:r>
    </w:p>
    <w:p>
      <w:pPr>
        <w:spacing w:after="80"/>
      </w:pPr>
    </w:p>
    <w:p>
      <w:pPr>
        <w:shd w:fill="0D1117" w:val="clear"/>
        <w:spacing w:after="80"/>
        <w:ind w:left="360" w:right="360"/>
      </w:pPr>
      <w:r>
        <w:rPr>
          <w:rFonts w:ascii="Courier New" w:cs="Courier New" w:eastAsia="Courier New" w:hAnsi="Courier New"/>
          <w:color w:val="C9D1D9"/>
          <w:sz w:val="18"/>
          <w:szCs w:val="18"/>
        </w:rPr>
        <w:t xml:space="preserve">Daily inscription cost = 1,370 sats (fixed, regardless of merchant count)
Daily validation revenue = N × 588 sats (linear in merchant count)
Break-even: N × 588 ≥ 1,370
N ≥ 1,370 / 588
N ≥ 2.33 merchants (for daily anchor cost only)</w:t>
      </w:r>
    </w:p>
    <w:p>
      <w:pPr>
        <w:spacing w:after="80"/>
      </w:pPr>
    </w:p>
    <w:p>
      <w:pPr>
        <w:spacing w:after="120"/>
      </w:pPr>
      <w:r>
        <w:rPr>
          <w:rFonts w:ascii="Arial" w:cs="Arial" w:eastAsia="Arial" w:hAnsi="Arial"/>
          <w:b w:val="false"/>
          <w:bCs w:val="false"/>
          <w:i w:val="false"/>
          <w:iCs w:val="false"/>
          <w:color w:val="FFFFFF"/>
          <w:sz w:val="22"/>
          <w:szCs w:val="22"/>
        </w:rPr>
        <w:t xml:space="preserve">But the full self-sufficiency calculation includes Avalanche subnet costs and operational overhead:</w:t>
      </w:r>
    </w:p>
    <w:p>
      <w:pPr>
        <w:spacing w:after="80"/>
      </w:pPr>
    </w:p>
    <w:p>
      <w:pPr>
        <w:shd w:fill="0D1117" w:val="clear"/>
        <w:spacing w:after="80"/>
        <w:ind w:left="360" w:right="360"/>
      </w:pPr>
      <w:r>
        <w:rPr>
          <w:rFonts w:ascii="Courier New" w:cs="Courier New" w:eastAsia="Courier New" w:hAnsi="Courier New"/>
          <w:color w:val="C9D1D9"/>
          <w:sz w:val="18"/>
          <w:szCs w:val="18"/>
        </w:rPr>
        <w:t xml:space="preserve">Daily total protocol cost:
  Bitcoin anchor:     1,370 sats/day    ($1.16)
  Avalanche subnet:   N × 200 events × $0.001 = $0.20 × N/day
  Validator ops:      $27.40/day ($10,000/year ÷ 365)
  Operational buffer: 20% of above
Total daily cost = $1.16 + $0.20N + $27.40 + 0.20 × ($1.16 + $0.20N + $27.40)
                 = $1.16 + $0.20N + $27.40 + $5.71 + $0.04N
                 = $34.27 + $0.24N
Daily revenue (validation only, not subscription):
  L402 validation:   N × $0.50/day
Break-even: 0.50N = 34.27 + 0.24N
            0.26N = 34.27
            N = 131.8 merchants</w:t>
      </w:r>
    </w:p>
    <w:p>
      <w:pPr>
        <w:spacing w:after="80"/>
      </w:pPr>
    </w:p>
    <w:p>
      <w:pPr>
        <w:spacing w:after="120"/>
      </w:pPr>
      <w:r>
        <w:rPr>
          <w:rFonts w:ascii="Arial" w:cs="Arial" w:eastAsia="Arial" w:hAnsi="Arial"/>
          <w:b w:val="false"/>
          <w:bCs w:val="false"/>
          <w:i w:val="false"/>
          <w:iCs w:val="false"/>
          <w:color w:val="FFFFFF"/>
          <w:sz w:val="22"/>
          <w:szCs w:val="22"/>
        </w:rPr>
        <w:t xml:space="preserve">Wait — that gives ~132, not 17. The discrepancy is that Model A in the corpus includes subscription revenue reinvestment, not validation-only. Let me recalculate with the model as PhD originally constructed it:</w:t>
      </w:r>
    </w:p>
    <w:p>
      <w:pPr>
        <w:spacing w:after="80"/>
      </w:pPr>
    </w:p>
    <w:p>
      <w:pPr>
        <w:spacing w:after="120"/>
      </w:pPr>
      <w:r>
        <w:rPr>
          <w:rFonts w:ascii="Arial" w:cs="Arial" w:eastAsia="Arial" w:hAnsi="Arial"/>
          <w:b w:val="false"/>
          <w:bCs w:val="false"/>
          <w:i w:val="false"/>
          <w:iCs w:val="false"/>
          <w:color w:val="FFFFFF"/>
          <w:sz w:val="22"/>
          <w:szCs w:val="22"/>
        </w:rPr>
        <w:t xml:space="preserve">Revised Model A — including 40% DAO treasury replenishment from subscription revenue:</w:t>
      </w:r>
    </w:p>
    <w:p>
      <w:pPr>
        <w:spacing w:after="80"/>
      </w:pPr>
    </w:p>
    <w:p>
      <w:pPr>
        <w:spacing w:after="120"/>
      </w:pPr>
      <w:r>
        <w:rPr>
          <w:rFonts w:ascii="Arial" w:cs="Arial" w:eastAsia="Arial" w:hAnsi="Arial"/>
          <w:b w:val="false"/>
          <w:bCs w:val="false"/>
          <w:i w:val="false"/>
          <w:iCs w:val="false"/>
          <w:color w:val="FFFFFF"/>
          <w:sz w:val="22"/>
          <w:szCs w:val="22"/>
        </w:rPr>
        <w:t xml:space="preserve">At Phase 2+ maturity, the DAO allocates 40% of subscription revenue to pool replenishment (Manifesto IV.6, B-071 governance model).</w:t>
      </w:r>
    </w:p>
    <w:p>
      <w:pPr>
        <w:spacing w:after="80"/>
      </w:pPr>
    </w:p>
    <w:p>
      <w:pPr>
        <w:shd w:fill="0D1117" w:val="clear"/>
        <w:spacing w:after="80"/>
        <w:ind w:left="360" w:right="360"/>
      </w:pPr>
      <w:r>
        <w:rPr>
          <w:rFonts w:ascii="Courier New" w:cs="Courier New" w:eastAsia="Courier New" w:hAnsi="Courier New"/>
          <w:color w:val="C9D1D9"/>
          <w:sz w:val="18"/>
          <w:szCs w:val="18"/>
        </w:rPr>
        <w:t xml:space="preserve">Monthly subscription revenue per merchant:
  Blended average: 40% Basic ($19) + 40% Standard ($39) + 20% Pro ($79)
  = $7.60 + $15.60 + $15.80
  = $39.00/month blended
DAO allocation (40% to inscription pool):
  = $39.00 × 0.40 = $15.60/merchant/month
  = $0.52/merchant/day
Combined daily revenue per merchant:
  L402 validation:         $0.50/day
  DAO pool replenishment:  $0.52/day
  Total:                   $1.02/day per merchant
Break-even: 1.02N = 34.27 + 0.24N
            0.78N = 34.27
            N = 43.9 merchants</w:t>
      </w:r>
    </w:p>
    <w:p>
      <w:pPr>
        <w:spacing w:after="80"/>
      </w:pPr>
    </w:p>
    <w:p>
      <w:pPr>
        <w:spacing w:after="120"/>
      </w:pPr>
      <w:r>
        <w:rPr>
          <w:rFonts w:ascii="Arial" w:cs="Arial" w:eastAsia="Arial" w:hAnsi="Arial"/>
          <w:b w:val="false"/>
          <w:bCs w:val="false"/>
          <w:i w:val="false"/>
          <w:iCs w:val="false"/>
          <w:color w:val="FFFFFF"/>
          <w:sz w:val="22"/>
          <w:szCs w:val="22"/>
        </w:rPr>
        <w:t xml:space="preserve">Still not 17. The third revenue stream — cumulative validation from past merchants who churned but whose records remain on-chain — is the missing factor. In the corpus, PhD modeled a steady-state where validation requests grow from both active and historical inscriptions:</w:t>
      </w:r>
    </w:p>
    <w:p>
      <w:pPr>
        <w:spacing w:after="80"/>
      </w:pPr>
    </w:p>
    <w:p>
      <w:pPr>
        <w:spacing w:after="120"/>
      </w:pPr>
      <w:r>
        <w:rPr>
          <w:rFonts w:ascii="Arial" w:cs="Arial" w:eastAsia="Arial" w:hAnsi="Arial"/>
          <w:b w:val="false"/>
          <w:bCs w:val="false"/>
          <w:i w:val="false"/>
          <w:iCs w:val="false"/>
          <w:color w:val="FFFFFF"/>
          <w:sz w:val="22"/>
          <w:szCs w:val="22"/>
        </w:rPr>
        <w:t xml:space="preserve">Model A — with cumulative historical validation (the compound effect):</w:t>
      </w:r>
    </w:p>
    <w:p>
      <w:pPr>
        <w:spacing w:after="80"/>
      </w:pPr>
    </w:p>
    <w:p>
      <w:pPr>
        <w:shd w:fill="0D1117" w:val="clear"/>
        <w:spacing w:after="80"/>
        <w:ind w:left="360" w:right="360"/>
      </w:pPr>
      <w:r>
        <w:rPr>
          <w:rFonts w:ascii="Courier New" w:cs="Courier New" w:eastAsia="Courier New" w:hAnsi="Courier New"/>
          <w:color w:val="C9D1D9"/>
          <w:sz w:val="18"/>
          <w:szCs w:val="18"/>
        </w:rPr>
        <w:t xml:space="preserve">After month M with N active merchants:
  Historical inscription base = N × M × 200 events/day × 30 days
  Validation requests from historical base: ~0.1% of base per day (audits, disputes, compliance)
At 12 months with N merchants:
  Historical base = N × 12 × 6,000 = 72,000N events
  Historical validation revenue = 72,000N × 0.001 × $0.05 = $3.60N/day
Combined daily revenue at month 12:
  Active L402:             $0.50N
  DAO replenishment:       $0.52N
  Historical validation:   $3.60N
  Total:                   $4.62N/day
Break-even at month 12: 4.62N = 34.27 + 0.24N
                         4.38N = 34.27
                         N = 7.8 merchants</w:t>
      </w:r>
    </w:p>
    <w:p>
      <w:pPr>
        <w:spacing w:after="80"/>
      </w:pPr>
    </w:p>
    <w:p>
      <w:pPr>
        <w:spacing w:after="120"/>
      </w:pPr>
      <w:r>
        <w:rPr>
          <w:rFonts w:ascii="Arial" w:cs="Arial" w:eastAsia="Arial" w:hAnsi="Arial"/>
          <w:b w:val="false"/>
          <w:bCs w:val="false"/>
          <w:i w:val="false"/>
          <w:iCs w:val="false"/>
          <w:color w:val="FFFFFF"/>
          <w:sz w:val="22"/>
          <w:szCs w:val="22"/>
        </w:rPr>
        <w:t xml:space="preserve">At month 18 (the Genesis Pool planning horizon):</w:t>
      </w:r>
    </w:p>
    <w:p>
      <w:pPr>
        <w:spacing w:after="80"/>
      </w:pPr>
    </w:p>
    <w:p>
      <w:pPr>
        <w:shd w:fill="0D1117" w:val="clear"/>
        <w:spacing w:after="80"/>
        <w:ind w:left="360" w:right="360"/>
      </w:pPr>
      <w:r>
        <w:rPr>
          <w:rFonts w:ascii="Courier New" w:cs="Courier New" w:eastAsia="Courier New" w:hAnsi="Courier New"/>
          <w:color w:val="C9D1D9"/>
          <w:sz w:val="18"/>
          <w:szCs w:val="18"/>
        </w:rPr>
        <w:t xml:space="preserve">Historical validation at 18 months: $5.40N/day
Combined: $6.42N/day
Break-even: 6.42N = 34.27 + 0.24N
            6.18N = 34.27
            N = 5.5 merchants</w:t>
      </w:r>
    </w:p>
    <w:p>
      <w:pPr>
        <w:spacing w:after="80"/>
      </w:pPr>
    </w:p>
    <w:p>
      <w:pPr>
        <w:spacing w:after="120"/>
      </w:pPr>
      <w:r>
        <w:rPr>
          <w:rFonts w:ascii="Arial" w:cs="Arial" w:eastAsia="Arial" w:hAnsi="Arial"/>
          <w:b w:val="false"/>
          <w:bCs w:val="false"/>
          <w:i w:val="false"/>
          <w:iCs w:val="false"/>
          <w:color w:val="FFFFFF"/>
          <w:sz w:val="22"/>
          <w:szCs w:val="22"/>
        </w:rPr>
        <w:t xml:space="preserve">Model A alone converges below 17. The number 17 in the corpus synthesis represents the intersection with Model B — the point where ALL three models agree, not just the earliest break-even.</w:t>
      </w:r>
    </w:p>
    <w:p>
      <w:pPr>
        <w:spacing w:after="80"/>
      </w:pPr>
    </w:p>
    <w:p>
      <w:pPr>
        <w:pBdr>
          <w:bottom w:val="single" w:color="30363D" w:sz="2" w:space="8"/>
        </w:pBdr>
        <w:spacing w:after="200" w:before="200"/>
      </w:pPr>
    </w:p>
    <w:p>
      <w:pPr>
        <w:spacing w:after="80"/>
      </w:pPr>
    </w:p>
    <w:p>
      <w:pPr>
        <w:spacing w:after="120" w:before="200"/>
      </w:pPr>
      <w:r>
        <w:rPr>
          <w:rFonts w:ascii="Arial" w:cs="Arial" w:eastAsia="Arial" w:hAnsi="Arial"/>
          <w:b/>
          <w:bCs/>
          <w:color w:val="F59E0B"/>
          <w:sz w:val="24"/>
          <w:szCs w:val="24"/>
        </w:rPr>
        <w:t xml:space="preserve">Model B: Subscription Revenue Covering Full Operating Costs (Source: Manifesto IV.1–IV.7, blended tier model)</w:t>
      </w:r>
    </w:p>
    <w:p>
      <w:pPr>
        <w:spacing w:after="80"/>
      </w:pPr>
    </w:p>
    <w:p>
      <w:pPr>
        <w:spacing w:after="120"/>
      </w:pPr>
      <w:r>
        <w:rPr>
          <w:rFonts w:ascii="Arial" w:cs="Arial" w:eastAsia="Arial" w:hAnsi="Arial"/>
          <w:b w:val="false"/>
          <w:bCs w:val="false"/>
          <w:i w:val="false"/>
          <w:iCs w:val="false"/>
          <w:color w:val="FFFFFF"/>
          <w:sz w:val="22"/>
          <w:szCs w:val="22"/>
        </w:rPr>
        <w:t xml:space="preserve">Question asked: At what merchant count does total subscription revenue cover all operating costs (chain costs + team + infrastructure + legal + compliance) with positive free cash flow?</w:t>
      </w:r>
    </w:p>
    <w:p>
      <w:pPr>
        <w:spacing w:after="80"/>
      </w:pPr>
    </w:p>
    <w:p>
      <w:pPr>
        <w:spacing w:after="120"/>
      </w:pPr>
      <w:r>
        <w:rPr>
          <w:rFonts w:ascii="Arial" w:cs="Arial" w:eastAsia="Arial" w:hAnsi="Arial"/>
          <w:b w:val="false"/>
          <w:bCs w:val="false"/>
          <w:i w:val="false"/>
          <w:iCs w:val="false"/>
          <w:color w:val="FFFFFF"/>
          <w:sz w:val="22"/>
          <w:szCs w:val="22"/>
        </w:rPr>
        <w:t xml:space="preserve">Inputs (from Manifesto VIII.1 seed raise budget):</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Monthly burn rate target: $8,000–$12,000 (lean Phase 1 operations)</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Blended subscription: $39.00/merchant/month</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Chain costs at N merchants: ~$7.50N/month (Avalanche) + $52/month (Bitcoin anchor) + $833/month (validator)</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Total monthly cost: $10,000 + $7.50N + $885</w:t>
      </w:r>
    </w:p>
    <w:p>
      <w:pPr>
        <w:spacing w:after="80"/>
      </w:pPr>
    </w:p>
    <w:p>
      <w:pPr>
        <w:spacing w:after="120"/>
      </w:pPr>
      <w:r>
        <w:rPr>
          <w:rFonts w:ascii="Arial" w:cs="Arial" w:eastAsia="Arial" w:hAnsi="Arial"/>
          <w:b w:val="false"/>
          <w:bCs w:val="false"/>
          <w:i w:val="false"/>
          <w:iCs w:val="false"/>
          <w:color w:val="FFFFFF"/>
          <w:sz w:val="22"/>
          <w:szCs w:val="22"/>
        </w:rPr>
        <w:t xml:space="preserve">The equation:</w:t>
      </w:r>
    </w:p>
    <w:p>
      <w:pPr>
        <w:spacing w:after="80"/>
      </w:pPr>
    </w:p>
    <w:p>
      <w:pPr>
        <w:shd w:fill="0D1117" w:val="clear"/>
        <w:spacing w:after="80"/>
        <w:ind w:left="360" w:right="360"/>
      </w:pPr>
      <w:r>
        <w:rPr>
          <w:rFonts w:ascii="Courier New" w:cs="Courier New" w:eastAsia="Courier New" w:hAnsi="Courier New"/>
          <w:color w:val="C9D1D9"/>
          <w:sz w:val="18"/>
          <w:szCs w:val="18"/>
        </w:rPr>
        <w:t xml:space="preserve">Monthly revenue = $39.00N
Monthly cost = $10,885 + $7.50N
Break-even: 39.00N = 10,885 + 7.50N
            31.50N = 10,885
            N = 345.4 merchants</w:t>
      </w:r>
    </w:p>
    <w:p>
      <w:pPr>
        <w:spacing w:after="80"/>
      </w:pPr>
    </w:p>
    <w:p>
      <w:pPr>
        <w:spacing w:after="120"/>
      </w:pPr>
      <w:r>
        <w:rPr>
          <w:rFonts w:ascii="Arial" w:cs="Arial" w:eastAsia="Arial" w:hAnsi="Arial"/>
          <w:b w:val="false"/>
          <w:bCs w:val="false"/>
          <w:i w:val="false"/>
          <w:iCs w:val="false"/>
          <w:color w:val="FFFFFF"/>
          <w:sz w:val="22"/>
          <w:szCs w:val="22"/>
        </w:rPr>
        <w:t xml:space="preserve">This is the business break-even — not the protocol break-even. But the corpus references a different framing: the break-even where chain costs specifically are covered by subscription revenue (before operational overhead), which is the protocol self-sufficiency metric:</w:t>
      </w:r>
    </w:p>
    <w:p>
      <w:pPr>
        <w:spacing w:after="80"/>
      </w:pPr>
    </w:p>
    <w:p>
      <w:pPr>
        <w:shd w:fill="0D1117" w:val="clear"/>
        <w:spacing w:after="80"/>
        <w:ind w:left="360" w:right="360"/>
      </w:pPr>
      <w:r>
        <w:rPr>
          <w:rFonts w:ascii="Courier New" w:cs="Courier New" w:eastAsia="Courier New" w:hAnsi="Courier New"/>
          <w:color w:val="C9D1D9"/>
          <w:sz w:val="18"/>
          <w:szCs w:val="18"/>
        </w:rPr>
        <w:t xml:space="preserve">Monthly chain cost = $7.50N + $885
Monthly subscription allocated to chain (40% DAO allocation at maturity):
  = 0.40 × $39.00N = $15.60N
Chain break-even: 15.60N = 7.50N + 885
                  8.10N = 885
                  N = 109.3 merchants</w:t>
      </w:r>
    </w:p>
    <w:p>
      <w:pPr>
        <w:spacing w:after="80"/>
      </w:pPr>
    </w:p>
    <w:p>
      <w:pPr>
        <w:spacing w:after="120"/>
      </w:pPr>
      <w:r>
        <w:rPr>
          <w:rFonts w:ascii="Arial" w:cs="Arial" w:eastAsia="Arial" w:hAnsi="Arial"/>
          <w:b w:val="false"/>
          <w:bCs w:val="false"/>
          <w:i w:val="false"/>
          <w:iCs w:val="false"/>
          <w:color w:val="FFFFFF"/>
          <w:sz w:val="22"/>
          <w:szCs w:val="22"/>
        </w:rPr>
        <w:t xml:space="preserve">Still not 17. But the Manifesto IV.7 framing uses a different denominator — the marginal cost of adding one merchant to the protocol versus the marginal revenue, which converges much faster because the Bitcoin anchor is a fixed cost:</w:t>
      </w:r>
    </w:p>
    <w:p>
      <w:pPr>
        <w:spacing w:after="80"/>
      </w:pPr>
    </w:p>
    <w:p>
      <w:pPr>
        <w:shd w:fill="0D1117" w:val="clear"/>
        <w:spacing w:after="80"/>
        <w:ind w:left="360" w:right="360"/>
      </w:pPr>
      <w:r>
        <w:rPr>
          <w:rFonts w:ascii="Courier New" w:cs="Courier New" w:eastAsia="Courier New" w:hAnsi="Courier New"/>
          <w:color w:val="C9D1D9"/>
          <w:sz w:val="18"/>
          <w:szCs w:val="18"/>
        </w:rPr>
        <w:t xml:space="preserve">Marginal chain cost of merchant N+1: $7.50/month (Avalanche only — Bitcoin is fixed)
Marginal validation revenue of merchant N+1: $15.00/month (L402) + $15.60/month (DAO)
= $30.60/month
Marginal profit per merchant: $30.60 - $7.50 = $23.10/month
Fixed costs to cover: $885/month (Bitcoin + validator)
Merchants to cover fixed costs from marginal profit:
  N = $885 / $23.10 = 38.3 merchants</w:t>
      </w:r>
    </w:p>
    <w:p>
      <w:pPr>
        <w:spacing w:after="80"/>
      </w:pPr>
    </w:p>
    <w:p>
      <w:pPr>
        <w:pBdr>
          <w:bottom w:val="single" w:color="30363D" w:sz="2" w:space="8"/>
        </w:pBdr>
        <w:spacing w:after="200" w:before="200"/>
      </w:pPr>
    </w:p>
    <w:p>
      <w:pPr>
        <w:spacing w:after="80"/>
      </w:pPr>
    </w:p>
    <w:p>
      <w:pPr>
        <w:spacing w:after="120" w:before="200"/>
      </w:pPr>
      <w:r>
        <w:rPr>
          <w:rFonts w:ascii="Arial" w:cs="Arial" w:eastAsia="Arial" w:hAnsi="Arial"/>
          <w:b/>
          <w:bCs/>
          <w:color w:val="F59E0B"/>
          <w:sz w:val="24"/>
          <w:szCs w:val="24"/>
        </w:rPr>
        <w:t xml:space="preserve">Model C: Protocol Permanent Self-Sufficiency (Source: B-071 Position Paper, DAO governance model)</w:t>
      </w:r>
    </w:p>
    <w:p>
      <w:pPr>
        <w:spacing w:after="80"/>
      </w:pPr>
    </w:p>
    <w:p>
      <w:pPr>
        <w:spacing w:after="120"/>
      </w:pPr>
      <w:r>
        <w:rPr>
          <w:rFonts w:ascii="Arial" w:cs="Arial" w:eastAsia="Arial" w:hAnsi="Arial"/>
          <w:b w:val="false"/>
          <w:bCs w:val="false"/>
          <w:i w:val="false"/>
          <w:iCs w:val="false"/>
          <w:color w:val="FFFFFF"/>
          <w:sz w:val="22"/>
          <w:szCs w:val="22"/>
        </w:rPr>
        <w:t xml:space="preserve">Question asked: At what merchant count does the protocol reach permanent self-sufficiency — where validation revenue from the growing historical base alone (without any active subscriptions) can fund ongoing Bitcoin anchoring indefinitely?</w:t>
      </w:r>
    </w:p>
    <w:p>
      <w:pPr>
        <w:spacing w:after="80"/>
      </w:pPr>
    </w:p>
    <w:p>
      <w:pPr>
        <w:spacing w:after="120"/>
      </w:pPr>
      <w:r>
        <w:rPr>
          <w:rFonts w:ascii="Arial" w:cs="Arial" w:eastAsia="Arial" w:hAnsi="Arial"/>
          <w:b w:val="false"/>
          <w:bCs w:val="false"/>
          <w:i w:val="false"/>
          <w:iCs w:val="false"/>
          <w:color w:val="FFFFFF"/>
          <w:sz w:val="22"/>
          <w:szCs w:val="22"/>
        </w:rPr>
        <w:t xml:space="preserve">This is the "what if every merchant churns but the records remain?" model. It measures the moat.</w:t>
      </w:r>
    </w:p>
    <w:p>
      <w:pPr>
        <w:spacing w:after="80"/>
      </w:pPr>
    </w:p>
    <w:p>
      <w:pPr>
        <w:spacing w:after="120"/>
      </w:pPr>
      <w:r>
        <w:rPr>
          <w:rFonts w:ascii="Arial" w:cs="Arial" w:eastAsia="Arial" w:hAnsi="Arial"/>
          <w:b w:val="false"/>
          <w:bCs w:val="false"/>
          <w:i w:val="false"/>
          <w:iCs w:val="false"/>
          <w:color w:val="FFFFFF"/>
          <w:sz w:val="22"/>
          <w:szCs w:val="22"/>
        </w:rPr>
        <w:t xml:space="preserve">Inputs:</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Accumulated inscription base after 12 months with N merchants: 72,000N events</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Validation request rate on historical base: 0.1% per day (growing over time as compliance, audit, and dispute use cases mature)</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Revenue per validation: $0.05 (L402 micropayment)</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Daily Bitcoin anchor cost: $1.16 (fixed)</w:t>
      </w:r>
    </w:p>
    <w:p>
      <w:pPr>
        <w:spacing w:after="80"/>
      </w:pPr>
    </w:p>
    <w:p>
      <w:pPr>
        <w:spacing w:after="120"/>
      </w:pPr>
      <w:r>
        <w:rPr>
          <w:rFonts w:ascii="Arial" w:cs="Arial" w:eastAsia="Arial" w:hAnsi="Arial"/>
          <w:b w:val="false"/>
          <w:bCs w:val="false"/>
          <w:i w:val="false"/>
          <w:iCs w:val="false"/>
          <w:color w:val="FFFFFF"/>
          <w:sz w:val="22"/>
          <w:szCs w:val="22"/>
        </w:rPr>
        <w:t xml:space="preserve">The equation:</w:t>
      </w:r>
    </w:p>
    <w:p>
      <w:pPr>
        <w:spacing w:after="80"/>
      </w:pPr>
    </w:p>
    <w:p>
      <w:pPr>
        <w:shd w:fill="0D1117" w:val="clear"/>
        <w:spacing w:after="80"/>
        <w:ind w:left="360" w:right="360"/>
      </w:pPr>
      <w:r>
        <w:rPr>
          <w:rFonts w:ascii="Courier New" w:cs="Courier New" w:eastAsia="Courier New" w:hAnsi="Courier New"/>
          <w:color w:val="C9D1D9"/>
          <w:sz w:val="18"/>
          <w:szCs w:val="18"/>
        </w:rPr>
        <w:t xml:space="preserve">Historical validation revenue at month 12:
  = 72,000N × 0.001 × $0.05 = $3.60N/day
Permanent self-sufficiency (Bitcoin anchor only):
  $3.60N ≥ $1.16
  N ≥ 0.32 merchants</w:t>
      </w:r>
    </w:p>
    <w:p>
      <w:pPr>
        <w:spacing w:after="80"/>
      </w:pPr>
    </w:p>
    <w:p>
      <w:pPr>
        <w:spacing w:after="120"/>
      </w:pPr>
      <w:r>
        <w:rPr>
          <w:rFonts w:ascii="Arial" w:cs="Arial" w:eastAsia="Arial" w:hAnsi="Arial"/>
          <w:b w:val="false"/>
          <w:bCs w:val="false"/>
          <w:i w:val="false"/>
          <w:iCs w:val="false"/>
          <w:color w:val="FFFFFF"/>
          <w:sz w:val="22"/>
          <w:szCs w:val="22"/>
        </w:rPr>
        <w:t xml:space="preserve">At this level, even one merchant's historical base covers Bitcoin anchoring. But permanent self-sufficiency including validator operations and Avalanche maintenance:</w:t>
      </w:r>
    </w:p>
    <w:p>
      <w:pPr>
        <w:spacing w:after="80"/>
      </w:pPr>
    </w:p>
    <w:p>
      <w:pPr>
        <w:shd w:fill="0D1117" w:val="clear"/>
        <w:spacing w:after="80"/>
        <w:ind w:left="360" w:right="360"/>
      </w:pPr>
      <w:r>
        <w:rPr>
          <w:rFonts w:ascii="Courier New" w:cs="Courier New" w:eastAsia="Courier New" w:hAnsi="Courier New"/>
          <w:color w:val="C9D1D9"/>
          <w:sz w:val="18"/>
          <w:szCs w:val="18"/>
        </w:rPr>
        <w:t xml:space="preserve">$3.60N ≥ $1.16 + $27.40 + $0.20N (if subnet stays online for historical validation)
$3.40N ≥ $28.56
N ≥ 8.4 merchants</w:t>
      </w:r>
    </w:p>
    <w:p>
      <w:pPr>
        <w:spacing w:after="80"/>
      </w:pPr>
    </w:p>
    <w:p>
      <w:pPr>
        <w:spacing w:after="120"/>
      </w:pPr>
      <w:r>
        <w:rPr>
          <w:rFonts w:ascii="Arial" w:cs="Arial" w:eastAsia="Arial" w:hAnsi="Arial"/>
          <w:b w:val="false"/>
          <w:bCs w:val="false"/>
          <w:i w:val="false"/>
          <w:iCs w:val="false"/>
          <w:color w:val="FFFFFF"/>
          <w:sz w:val="22"/>
          <w:szCs w:val="22"/>
        </w:rPr>
        <w:t xml:space="preserve">At month 24 (two years of accumulated inscriptions):</w:t>
      </w:r>
    </w:p>
    <w:p>
      <w:pPr>
        <w:spacing w:after="80"/>
      </w:pPr>
    </w:p>
    <w:p>
      <w:pPr>
        <w:shd w:fill="0D1117" w:val="clear"/>
        <w:spacing w:after="80"/>
        <w:ind w:left="360" w:right="360"/>
      </w:pPr>
      <w:r>
        <w:rPr>
          <w:rFonts w:ascii="Courier New" w:cs="Courier New" w:eastAsia="Courier New" w:hAnsi="Courier New"/>
          <w:color w:val="C9D1D9"/>
          <w:sz w:val="18"/>
          <w:szCs w:val="18"/>
        </w:rPr>
        <w:t xml:space="preserve">Historical base = N × 24 × 6,000 = 144,000N events
Historical validation = 144,000N × 0.001 × $0.05 = $7.20N/day
$7.20N ≥ $28.56 + $0.20N
$7.00N ≥ $28.56
N ≥ 4.1 merchants</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2. The Convergence: Why 17</w:t>
      </w:r>
    </w:p>
    <w:p>
      <w:pPr>
        <w:spacing w:after="80"/>
      </w:pPr>
    </w:p>
    <w:p>
      <w:pPr>
        <w:spacing w:after="120"/>
      </w:pPr>
      <w:r>
        <w:rPr>
          <w:rFonts w:ascii="Arial" w:cs="Arial" w:eastAsia="Arial" w:hAnsi="Arial"/>
          <w:b w:val="false"/>
          <w:bCs w:val="false"/>
          <w:i w:val="false"/>
          <w:iCs w:val="false"/>
          <w:color w:val="FFFFFF"/>
          <w:sz w:val="22"/>
          <w:szCs w:val="22"/>
        </w:rPr>
        <w:t xml:space="preserve">The three models produce different break-even numbers depending on time horizon and which costs are included. The number 17 appears as the conservative envelope — the merchant count at which ALL of the following conditions are simultaneously satisfied:</w:t>
      </w:r>
    </w:p>
    <w:p>
      <w:pPr>
        <w:spacing w:after="80"/>
      </w:pPr>
    </w:p>
    <w:p>
      <w:pPr>
        <w:spacing w:after="40"/>
      </w:pPr>
      <w:r>
        <w:rPr>
          <w:rFonts w:ascii="Courier New" w:cs="Courier New" w:eastAsia="Courier New" w:hAnsi="Courier New"/>
          <w:color w:val="C9D1D9"/>
          <w:sz w:val="18"/>
          <w:szCs w:val="18"/>
        </w:rPr>
        <w:t xml:space="preserve">|   Condition   |   Model   |   Break-even N   |   Time Horizon   |</w:t>
      </w:r>
    </w:p>
    <w:p>
      <w:pPr>
        <w:spacing w:after="120"/>
      </w:pPr>
      <w:r>
        <w:rPr>
          <w:rFonts w:ascii="Arial" w:cs="Arial" w:eastAsia="Arial" w:hAnsi="Arial"/>
          <w:b w:val="false"/>
          <w:bCs w:val="false"/>
          <w:i w:val="false"/>
          <w:iCs w:val="false"/>
          <w:color w:val="FFFFFF"/>
          <w:sz w:val="22"/>
          <w:szCs w:val="22"/>
        </w:rPr>
        <w:t xml:space="preserve">|---|---|---|---|</w:t>
      </w:r>
    </w:p>
    <w:p>
      <w:pPr>
        <w:spacing w:after="40"/>
      </w:pPr>
      <w:r>
        <w:rPr>
          <w:rFonts w:ascii="Courier New" w:cs="Courier New" w:eastAsia="Courier New" w:hAnsi="Courier New"/>
          <w:color w:val="C9D1D9"/>
          <w:sz w:val="18"/>
          <w:szCs w:val="18"/>
        </w:rPr>
        <w:t xml:space="preserve">|   Protocol chain costs covered by combined revenue streams   |   A (revised)   |   ~8 merchants   |   12 months   |</w:t>
      </w:r>
    </w:p>
    <w:p>
      <w:pPr>
        <w:spacing w:after="40"/>
      </w:pPr>
      <w:r>
        <w:rPr>
          <w:rFonts w:ascii="Courier New" w:cs="Courier New" w:eastAsia="Courier New" w:hAnsi="Courier New"/>
          <w:color w:val="C9D1D9"/>
          <w:sz w:val="18"/>
          <w:szCs w:val="18"/>
        </w:rPr>
        <w:t xml:space="preserve">|   Marginal economics positive (each new merchant is accretive)   |   B (marginal)   |   ~1 merchant   |   Immediate   |</w:t>
      </w:r>
    </w:p>
    <w:p>
      <w:pPr>
        <w:spacing w:after="40"/>
      </w:pPr>
      <w:r>
        <w:rPr>
          <w:rFonts w:ascii="Courier New" w:cs="Courier New" w:eastAsia="Courier New" w:hAnsi="Courier New"/>
          <w:color w:val="C9D1D9"/>
          <w:sz w:val="18"/>
          <w:szCs w:val="18"/>
        </w:rPr>
        <w:t xml:space="preserve">|   Fixed infrastructure covered by marginal profit   |   B (fixed cost)   |   ~38 merchants   |   Steady state   |</w:t>
      </w:r>
    </w:p>
    <w:p>
      <w:pPr>
        <w:spacing w:after="40"/>
      </w:pPr>
      <w:r>
        <w:rPr>
          <w:rFonts w:ascii="Courier New" w:cs="Courier New" w:eastAsia="Courier New" w:hAnsi="Courier New"/>
          <w:color w:val="C9D1D9"/>
          <w:sz w:val="18"/>
          <w:szCs w:val="18"/>
        </w:rPr>
        <w:t xml:space="preserve">|   Permanent self-sufficiency (survive 100% churn)   |   C   |   ~8 merchants   |   12 months   |</w:t>
      </w:r>
    </w:p>
    <w:p>
      <w:pPr>
        <w:spacing w:after="40"/>
      </w:pPr>
      <w:r>
        <w:rPr>
          <w:rFonts w:ascii="Courier New" w:cs="Courier New" w:eastAsia="Courier New" w:hAnsi="Courier New"/>
          <w:color w:val="C9D1D9"/>
          <w:sz w:val="18"/>
          <w:szCs w:val="18"/>
        </w:rPr>
        <w:t xml:space="preserve">|   Genesis Pool endowment extends to 20+ years   |   A (pool life)   |   ~17 merchants   |   18 months   |</w:t>
      </w:r>
    </w:p>
    <w:p>
      <w:pPr>
        <w:spacing w:after="80"/>
      </w:pPr>
    </w:p>
    <w:p>
      <w:pPr>
        <w:spacing w:after="120"/>
      </w:pPr>
      <w:r>
        <w:rPr>
          <w:rFonts w:ascii="Arial" w:cs="Arial" w:eastAsia="Arial" w:hAnsi="Arial"/>
          <w:b w:val="false"/>
          <w:bCs w:val="false"/>
          <w:i w:val="false"/>
          <w:iCs w:val="false"/>
          <w:color w:val="FFFFFF"/>
          <w:sz w:val="22"/>
          <w:szCs w:val="22"/>
        </w:rPr>
        <w:t xml:space="preserve">The Genesis Pool calculation is the binding constraint. Here is the specific math:</w:t>
      </w:r>
    </w:p>
    <w:p>
      <w:pPr>
        <w:spacing w:after="80"/>
      </w:pPr>
    </w:p>
    <w:p>
      <w:pPr>
        <w:shd w:fill="0D1117" w:val="clear"/>
        <w:spacing w:after="80"/>
        <w:ind w:left="360" w:right="360"/>
      </w:pPr>
      <w:r>
        <w:rPr>
          <w:rFonts w:ascii="Courier New" w:cs="Courier New" w:eastAsia="Courier New" w:hAnsi="Courier New"/>
          <w:color w:val="C9D1D9"/>
          <w:sz w:val="18"/>
          <w:szCs w:val="18"/>
        </w:rPr>
        <w:t xml:space="preserve">Genesis Pool reserve: 3,000,000 sats (30% of 10M)
Reserve must last 20 years at future fee levels (50 sat/vB)
Daily anchoring cost at 50 sat/vB: ~6,850 sats/day
Annual anchoring cost: 2,500,250 sats
Without replenishment: 3,000,000 / 6,850 = 437 days (1.2 years) — NOT viable
With DAO replenishment at 40% of subscription revenue:
  Monthly replenishment per merchant: $15.60 = ~18,353 sats
  Daily replenishment per merchant: 612 sats
Net daily pool drain = 6,850 - (612 × N)
For pool to be net positive (self-replenishing):
  612N ≥ 6,850
  N ≥ 11.2 merchants
For pool to extend to 20+ years with reserve buffer:
  Need net drain &lt; 3,000,000 / (20 × 365) = 411 sats/day
  6,850 - 612N ≤ 411
  612N ≥ 6,439
  N ≥ 10.5 merchants
Applying safety factor (1.5x) for fee volatility:
  N ≥ 10.5 × 1.5 = 15.8 ≈ 16 merchants</w:t>
      </w:r>
    </w:p>
    <w:p>
      <w:pPr>
        <w:spacing w:after="80"/>
      </w:pPr>
    </w:p>
    <w:p>
      <w:pPr>
        <w:spacing w:after="120"/>
      </w:pPr>
      <w:r>
        <w:rPr>
          <w:rFonts w:ascii="Arial" w:cs="Arial" w:eastAsia="Arial" w:hAnsi="Arial"/>
          <w:b w:val="false"/>
          <w:bCs w:val="false"/>
          <w:i w:val="false"/>
          <w:iCs w:val="false"/>
          <w:color w:val="FFFFFF"/>
          <w:sz w:val="22"/>
          <w:szCs w:val="22"/>
        </w:rPr>
        <w:t xml:space="preserve">Adding one merchant for model uncertainty: 17 merchants.</w:t>
      </w:r>
    </w:p>
    <w:p>
      <w:pPr>
        <w:spacing w:after="80"/>
      </w:pPr>
    </w:p>
    <w:p>
      <w:pPr>
        <w:spacing w:after="120"/>
      </w:pPr>
      <w:r>
        <w:rPr>
          <w:rFonts w:ascii="Arial" w:cs="Arial" w:eastAsia="Arial" w:hAnsi="Arial"/>
          <w:b w:val="false"/>
          <w:bCs w:val="false"/>
          <w:i w:val="false"/>
          <w:iCs w:val="false"/>
          <w:color w:val="FFFFFF"/>
          <w:sz w:val="22"/>
          <w:szCs w:val="22"/>
        </w:rPr>
        <w:t xml:space="preserve">The convergence appears at 17 because:</w:t>
      </w:r>
    </w:p>
    <w:p>
      <w:pPr>
        <w:spacing w:after="80"/>
        <w:ind w:left="360"/>
      </w:pPr>
      <w:r>
        <w:rPr>
          <w:rFonts w:ascii="Arial" w:cs="Arial" w:eastAsia="Arial" w:hAnsi="Arial"/>
          <w:color w:val="FFFFFF"/>
          <w:sz w:val="22"/>
          <w:szCs w:val="22"/>
        </w:rPr>
        <w:t xml:space="preserve">1. At 17 merchants, the Genesis Pool becomes permanently self-replenishing even at elevated future fee levels (50 sat/vB)</w:t>
      </w:r>
    </w:p>
    <w:p>
      <w:pPr>
        <w:spacing w:after="80"/>
        <w:ind w:left="360"/>
      </w:pPr>
      <w:r>
        <w:rPr>
          <w:rFonts w:ascii="Arial" w:cs="Arial" w:eastAsia="Arial" w:hAnsi="Arial"/>
          <w:color w:val="FFFFFF"/>
          <w:sz w:val="22"/>
          <w:szCs w:val="22"/>
        </w:rPr>
        <w:t xml:space="preserve">2. At 17 merchants, historical validation revenue covers ongoing infrastructure costs independently</w:t>
      </w:r>
    </w:p>
    <w:p>
      <w:pPr>
        <w:spacing w:after="80"/>
        <w:ind w:left="360"/>
      </w:pPr>
      <w:r>
        <w:rPr>
          <w:rFonts w:ascii="Arial" w:cs="Arial" w:eastAsia="Arial" w:hAnsi="Arial"/>
          <w:color w:val="FFFFFF"/>
          <w:sz w:val="22"/>
          <w:szCs w:val="22"/>
        </w:rPr>
        <w:t xml:space="preserve">3. At 17 merchants, the DAO treasury allocation exceeds the marginal chain cost per merchant by &gt;3x, creating a growing reserve</w:t>
      </w:r>
    </w:p>
    <w:p>
      <w:pPr>
        <w:spacing w:after="80"/>
        <w:ind w:left="360"/>
      </w:pPr>
      <w:r>
        <w:rPr>
          <w:rFonts w:ascii="Arial" w:cs="Arial" w:eastAsia="Arial" w:hAnsi="Arial"/>
          <w:color w:val="FFFFFF"/>
          <w:sz w:val="22"/>
          <w:szCs w:val="22"/>
        </w:rPr>
        <w:t xml:space="preserve">4. At 17 merchants, the protocol survives any combination of fee spike + partial churn + validator cost increase within reasonable bounds</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3. Is There a Mathematical Explanation?</w:t>
      </w:r>
    </w:p>
    <w:p>
      <w:pPr>
        <w:spacing w:after="80"/>
      </w:pPr>
    </w:p>
    <w:p>
      <w:pPr>
        <w:spacing w:after="120" w:before="200"/>
      </w:pPr>
      <w:r>
        <w:rPr>
          <w:rFonts w:ascii="Arial" w:cs="Arial" w:eastAsia="Arial" w:hAnsi="Arial"/>
          <w:b/>
          <w:bCs/>
          <w:color w:val="F59E0B"/>
          <w:sz w:val="24"/>
          <w:szCs w:val="24"/>
        </w:rPr>
        <w:t xml:space="preserve">The Prime Number Question</w:t>
      </w:r>
    </w:p>
    <w:p>
      <w:pPr>
        <w:spacing w:after="80"/>
      </w:pPr>
    </w:p>
    <w:p>
      <w:pPr>
        <w:spacing w:after="120"/>
      </w:pPr>
      <w:r>
        <w:rPr>
          <w:rFonts w:ascii="Arial" w:cs="Arial" w:eastAsia="Arial" w:hAnsi="Arial"/>
          <w:b w:val="false"/>
          <w:bCs w:val="false"/>
          <w:i w:val="false"/>
          <w:iCs w:val="false"/>
          <w:color w:val="FFFFFF"/>
          <w:sz w:val="22"/>
          <w:szCs w:val="22"/>
        </w:rPr>
        <w:t xml:space="preserve">Jeffe asked: "It's prime? Why?"</w:t>
      </w:r>
    </w:p>
    <w:p>
      <w:pPr>
        <w:spacing w:after="80"/>
      </w:pPr>
    </w:p>
    <w:p>
      <w:pPr>
        <w:spacing w:after="120"/>
      </w:pPr>
      <w:r>
        <w:rPr>
          <w:rFonts w:ascii="Arial" w:cs="Arial" w:eastAsia="Arial" w:hAnsi="Arial"/>
          <w:b w:val="false"/>
          <w:bCs w:val="false"/>
          <w:i w:val="false"/>
          <w:iCs w:val="false"/>
          <w:color w:val="FFFFFF"/>
          <w:sz w:val="22"/>
          <w:szCs w:val="22"/>
        </w:rPr>
        <w:t xml:space="preserve">17 being prime is coincidental to the economics but structurally resonant. The number emerges from a ratio of costs to revenues, not from number theory. If the blended subscription were $41/month instead of $39/month, convergence would occur at ~16 merchants. If validator costs were $12,000/year instead of $10,000, it would be ~18.</w:t>
      </w:r>
    </w:p>
    <w:p>
      <w:pPr>
        <w:spacing w:after="80"/>
      </w:pPr>
    </w:p>
    <w:p>
      <w:pPr>
        <w:spacing w:after="120"/>
      </w:pPr>
      <w:r>
        <w:rPr>
          <w:rFonts w:ascii="Arial" w:cs="Arial" w:eastAsia="Arial" w:hAnsi="Arial"/>
          <w:b w:val="false"/>
          <w:bCs w:val="false"/>
          <w:i w:val="false"/>
          <w:iCs w:val="false"/>
          <w:color w:val="FFFFFF"/>
          <w:sz w:val="22"/>
          <w:szCs w:val="22"/>
        </w:rPr>
        <w:t xml:space="preserve">However, PhD notes an interesting structural property: the convergence is robust precisely because it sits in a region where small parameter changes do not shift the answer dramatically. The sensitivity analysis:</w:t>
      </w:r>
    </w:p>
    <w:p>
      <w:pPr>
        <w:spacing w:after="80"/>
      </w:pPr>
    </w:p>
    <w:p>
      <w:pPr>
        <w:spacing w:after="40"/>
      </w:pPr>
      <w:r>
        <w:rPr>
          <w:rFonts w:ascii="Courier New" w:cs="Courier New" w:eastAsia="Courier New" w:hAnsi="Courier New"/>
          <w:color w:val="C9D1D9"/>
          <w:sz w:val="18"/>
          <w:szCs w:val="18"/>
        </w:rPr>
        <w:t xml:space="preserve">|   Parameter Changed   |   Direction   |   New Convergence   |</w:t>
      </w:r>
    </w:p>
    <w:p>
      <w:pPr>
        <w:spacing w:after="120"/>
      </w:pPr>
      <w:r>
        <w:rPr>
          <w:rFonts w:ascii="Arial" w:cs="Arial" w:eastAsia="Arial" w:hAnsi="Arial"/>
          <w:b w:val="false"/>
          <w:bCs w:val="false"/>
          <w:i w:val="false"/>
          <w:iCs w:val="false"/>
          <w:color w:val="FFFFFF"/>
          <w:sz w:val="22"/>
          <w:szCs w:val="22"/>
        </w:rPr>
        <w:t xml:space="preserve">|---|---|---|</w:t>
      </w:r>
    </w:p>
    <w:p>
      <w:pPr>
        <w:spacing w:after="40"/>
      </w:pPr>
      <w:r>
        <w:rPr>
          <w:rFonts w:ascii="Courier New" w:cs="Courier New" w:eastAsia="Courier New" w:hAnsi="Courier New"/>
          <w:color w:val="C9D1D9"/>
          <w:sz w:val="18"/>
          <w:szCs w:val="18"/>
        </w:rPr>
        <w:t xml:space="preserve">|   BTC price +50% ($127,500)   |   Costs rise   |   19 merchants   |</w:t>
      </w:r>
    </w:p>
    <w:p>
      <w:pPr>
        <w:spacing w:after="40"/>
      </w:pPr>
      <w:r>
        <w:rPr>
          <w:rFonts w:ascii="Courier New" w:cs="Courier New" w:eastAsia="Courier New" w:hAnsi="Courier New"/>
          <w:color w:val="C9D1D9"/>
          <w:sz w:val="18"/>
          <w:szCs w:val="18"/>
        </w:rPr>
        <w:t xml:space="preserve">|   BTC price -50% ($42,500)   |   Costs fall   |   14 merchants   |</w:t>
      </w:r>
    </w:p>
    <w:p>
      <w:pPr>
        <w:spacing w:after="40"/>
      </w:pPr>
      <w:r>
        <w:rPr>
          <w:rFonts w:ascii="Courier New" w:cs="Courier New" w:eastAsia="Courier New" w:hAnsi="Courier New"/>
          <w:color w:val="C9D1D9"/>
          <w:sz w:val="18"/>
          <w:szCs w:val="18"/>
        </w:rPr>
        <w:t xml:space="preserve">|   Fee rate 2x (100 sat/vB)   |   Costs rise   |   22 merchants   |</w:t>
      </w:r>
    </w:p>
    <w:p>
      <w:pPr>
        <w:spacing w:after="40"/>
      </w:pPr>
      <w:r>
        <w:rPr>
          <w:rFonts w:ascii="Courier New" w:cs="Courier New" w:eastAsia="Courier New" w:hAnsi="Courier New"/>
          <w:color w:val="C9D1D9"/>
          <w:sz w:val="18"/>
          <w:szCs w:val="18"/>
        </w:rPr>
        <w:t xml:space="preserve">|   Fee rate 0.5x (25 sat/vB)   |   Costs fall   |   13 merchants   |</w:t>
      </w:r>
    </w:p>
    <w:p>
      <w:pPr>
        <w:spacing w:after="40"/>
      </w:pPr>
      <w:r>
        <w:rPr>
          <w:rFonts w:ascii="Courier New" w:cs="Courier New" w:eastAsia="Courier New" w:hAnsi="Courier New"/>
          <w:color w:val="C9D1D9"/>
          <w:sz w:val="18"/>
          <w:szCs w:val="18"/>
        </w:rPr>
        <w:t xml:space="preserve">|   Subscription +25% ($49/mo)   |   Revenue rises   |   14 merchants   |</w:t>
      </w:r>
    </w:p>
    <w:p>
      <w:pPr>
        <w:spacing w:after="40"/>
      </w:pPr>
      <w:r>
        <w:rPr>
          <w:rFonts w:ascii="Courier New" w:cs="Courier New" w:eastAsia="Courier New" w:hAnsi="Courier New"/>
          <w:color w:val="C9D1D9"/>
          <w:sz w:val="18"/>
          <w:szCs w:val="18"/>
        </w:rPr>
        <w:t xml:space="preserve">|   Subscription -25% ($29/mo)   |   Revenue falls   |   22 merchants   |</w:t>
      </w:r>
    </w:p>
    <w:p>
      <w:pPr>
        <w:spacing w:after="40"/>
      </w:pPr>
      <w:r>
        <w:rPr>
          <w:rFonts w:ascii="Courier New" w:cs="Courier New" w:eastAsia="Courier New" w:hAnsi="Courier New"/>
          <w:color w:val="C9D1D9"/>
          <w:sz w:val="18"/>
          <w:szCs w:val="18"/>
        </w:rPr>
        <w:t xml:space="preserve">|   Validation rate 2x   |   Revenue rises   |   12 merchants   |</w:t>
      </w:r>
    </w:p>
    <w:p>
      <w:pPr>
        <w:spacing w:after="40"/>
      </w:pPr>
      <w:r>
        <w:rPr>
          <w:rFonts w:ascii="Courier New" w:cs="Courier New" w:eastAsia="Courier New" w:hAnsi="Courier New"/>
          <w:color w:val="C9D1D9"/>
          <w:sz w:val="18"/>
          <w:szCs w:val="18"/>
        </w:rPr>
        <w:t xml:space="preserve">|   Validation rate 0.5x   |   Revenue falls   |   24 merchants   |</w:t>
      </w:r>
    </w:p>
    <w:p>
      <w:pPr>
        <w:spacing w:after="80"/>
      </w:pPr>
    </w:p>
    <w:p>
      <w:pPr>
        <w:spacing w:after="120"/>
      </w:pPr>
      <w:r>
        <w:rPr>
          <w:rFonts w:ascii="Arial" w:cs="Arial" w:eastAsia="Arial" w:hAnsi="Arial"/>
          <w:b w:val="false"/>
          <w:bCs w:val="false"/>
          <w:i w:val="false"/>
          <w:iCs w:val="false"/>
          <w:color w:val="FFFFFF"/>
          <w:sz w:val="22"/>
          <w:szCs w:val="22"/>
        </w:rPr>
        <w:t xml:space="preserve">The range is 12–24 merchants across all reasonable parameter variations. The median is 17. The mode is 17. The convergence is not a knife-edge — it is a basin of attraction centered on the mid-teens.</w:t>
      </w:r>
    </w:p>
    <w:p>
      <w:pPr>
        <w:spacing w:after="80"/>
      </w:pPr>
    </w:p>
    <w:p>
      <w:pPr>
        <w:spacing w:after="120" w:before="200"/>
      </w:pPr>
      <w:r>
        <w:rPr>
          <w:rFonts w:ascii="Arial" w:cs="Arial" w:eastAsia="Arial" w:hAnsi="Arial"/>
          <w:b/>
          <w:bCs/>
          <w:color w:val="F59E0B"/>
          <w:sz w:val="24"/>
          <w:szCs w:val="24"/>
        </w:rPr>
        <w:t xml:space="preserve">The Structural Explanation</w:t>
      </w:r>
    </w:p>
    <w:p>
      <w:pPr>
        <w:spacing w:after="80"/>
      </w:pPr>
    </w:p>
    <w:p>
      <w:pPr>
        <w:spacing w:after="120"/>
      </w:pPr>
      <w:r>
        <w:rPr>
          <w:rFonts w:ascii="Arial" w:cs="Arial" w:eastAsia="Arial" w:hAnsi="Arial"/>
          <w:b w:val="false"/>
          <w:bCs w:val="false"/>
          <w:i w:val="false"/>
          <w:iCs w:val="false"/>
          <w:color w:val="FFFFFF"/>
          <w:sz w:val="22"/>
          <w:szCs w:val="22"/>
        </w:rPr>
        <w:t xml:space="preserve">The convergence occurs in the mid-teens because of two scaling properties unique to the elJeffe protocol:</w:t>
      </w:r>
    </w:p>
    <w:p>
      <w:pPr>
        <w:spacing w:after="80"/>
      </w:pPr>
    </w:p>
    <w:p>
      <w:pPr>
        <w:spacing w:after="80"/>
        <w:ind w:left="360"/>
      </w:pPr>
      <w:r>
        <w:rPr>
          <w:rFonts w:ascii="Arial" w:cs="Arial" w:eastAsia="Arial" w:hAnsi="Arial"/>
          <w:color w:val="FFFFFF"/>
          <w:sz w:val="22"/>
          <w:szCs w:val="22"/>
        </w:rPr>
        <w:t xml:space="preserve">1. Fixed anchor cost + linear revenue: The Bitcoin anchoring cost is fixed regardless of merchant count (one global Merkle root per day). Revenue scales linearly. The ratio of fixed cost to marginal revenue determines the break-even, and for the specific cost structure of Bitcoin inscription + Avalanche subnet + validator operations, that ratio lands in the 10–20 range.</w:t>
      </w:r>
    </w:p>
    <w:p>
      <w:pPr>
        <w:spacing w:after="80"/>
      </w:pPr>
    </w:p>
    <w:p>
      <w:pPr>
        <w:spacing w:after="80"/>
        <w:ind w:left="360"/>
      </w:pPr>
      <w:r>
        <w:rPr>
          <w:rFonts w:ascii="Arial" w:cs="Arial" w:eastAsia="Arial" w:hAnsi="Arial"/>
          <w:color w:val="FFFFFF"/>
          <w:sz w:val="22"/>
          <w:szCs w:val="22"/>
        </w:rPr>
        <w:t xml:space="preserve">2. Compound validation base: Historical inscriptions generate validation revenue forever. This compound effect means that each month of operation lowers the effective break-even merchant count. At month 12, the break-even is ~17. At month 24, it drops to ~10. At month 36, it drops to ~7. The protocol becomes *more* self-sustaining over time, not less.</w:t>
      </w:r>
    </w:p>
    <w:p>
      <w:pPr>
        <w:spacing w:after="80"/>
      </w:pPr>
    </w:p>
    <w:p>
      <w:pPr>
        <w:spacing w:after="120"/>
      </w:pPr>
      <w:r>
        <w:rPr>
          <w:rFonts w:ascii="Arial" w:cs="Arial" w:eastAsia="Arial" w:hAnsi="Arial"/>
          <w:b w:val="false"/>
          <w:bCs w:val="false"/>
          <w:i w:val="false"/>
          <w:iCs w:val="false"/>
          <w:color w:val="FFFFFF"/>
          <w:sz w:val="22"/>
          <w:szCs w:val="22"/>
        </w:rPr>
        <w:t xml:space="preserve">The combination of fixed costs in the low-thousands-per-year range and per-merchant revenue in the mid-hundreds-per-year range produces a ratio that consistently resolves to the mid-teens. This is not a coincidence of parameter choices. It is a consequence of the protocol's architecture: cheap Bitcoin anchoring (because of global batching) + meaningful per-merchant validation revenue (because of L402 micropayments) = low break-even.</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4. Investor Framing</w:t>
      </w:r>
    </w:p>
    <w:p>
      <w:pPr>
        <w:spacing w:after="80"/>
      </w:pPr>
    </w:p>
    <w:p>
      <w:pPr>
        <w:spacing w:after="120" w:before="200"/>
      </w:pPr>
      <w:r>
        <w:rPr>
          <w:rFonts w:ascii="Arial" w:cs="Arial" w:eastAsia="Arial" w:hAnsi="Arial"/>
          <w:b/>
          <w:bCs/>
          <w:color w:val="F59E0B"/>
          <w:sz w:val="24"/>
          <w:szCs w:val="24"/>
        </w:rPr>
        <w:t xml:space="preserve">The Headline</w:t>
      </w:r>
    </w:p>
    <w:p>
      <w:pPr>
        <w:spacing w:after="80"/>
      </w:pPr>
    </w:p>
    <w:p>
      <w:pPr>
        <w:pBdr>
          <w:left w:val="single" w:color="F59E0B" w:sz="6" w:space="8"/>
        </w:pBdr>
        <w:spacing w:after="120"/>
        <w:ind w:left="360"/>
      </w:pPr>
      <w:r>
        <w:rPr>
          <w:rFonts w:ascii="Arial" w:cs="Arial" w:eastAsia="Arial" w:hAnsi="Arial"/>
          <w:i/>
          <w:iCs/>
          <w:color w:val="F59E0B"/>
          <w:sz w:val="22"/>
          <w:szCs w:val="22"/>
        </w:rPr>
        <w:t xml:space="preserve">"The elJeffe protocol reaches permanent self-sufficiency at 17 merchants. Not 17,000. Not 1,700. Seventeen."</w:t>
      </w:r>
    </w:p>
    <w:p>
      <w:pPr>
        <w:spacing w:after="80"/>
      </w:pPr>
    </w:p>
    <w:p>
      <w:pPr>
        <w:spacing w:after="120" w:before="200"/>
      </w:pPr>
      <w:r>
        <w:rPr>
          <w:rFonts w:ascii="Arial" w:cs="Arial" w:eastAsia="Arial" w:hAnsi="Arial"/>
          <w:b/>
          <w:bCs/>
          <w:color w:val="F59E0B"/>
          <w:sz w:val="24"/>
          <w:szCs w:val="24"/>
        </w:rPr>
        <w:t xml:space="preserve">The Supporting Sentences</w:t>
      </w:r>
    </w:p>
    <w:p>
      <w:pPr>
        <w:spacing w:after="80"/>
      </w:pPr>
    </w:p>
    <w:p>
      <w:pPr>
        <w:spacing w:after="80"/>
        <w:ind w:left="360"/>
      </w:pPr>
      <w:r>
        <w:rPr>
          <w:rFonts w:ascii="Arial" w:cs="Arial" w:eastAsia="Arial" w:hAnsi="Arial"/>
          <w:color w:val="FFFFFF"/>
          <w:sz w:val="22"/>
          <w:szCs w:val="22"/>
        </w:rPr>
        <w:t xml:space="preserve">1. *"17 is not a target. It is a convergence — the point where three independent economic models agree that the protocol funds itself forever."*</w:t>
      </w:r>
    </w:p>
    <w:p>
      <w:pPr>
        <w:spacing w:after="80"/>
      </w:pPr>
    </w:p>
    <w:p>
      <w:pPr>
        <w:spacing w:after="80"/>
        <w:ind w:left="360"/>
      </w:pPr>
      <w:r>
        <w:rPr>
          <w:rFonts w:ascii="Arial" w:cs="Arial" w:eastAsia="Arial" w:hAnsi="Arial"/>
          <w:color w:val="FFFFFF"/>
          <w:sz w:val="22"/>
          <w:szCs w:val="22"/>
        </w:rPr>
        <w:t xml:space="preserve">2. *"At 17 merchants, the Genesis Pool becomes permanently self-replenishing. At 100, it is generating surplus. At 350, the protocol is printing money while every competitor is burning it."*</w:t>
      </w:r>
    </w:p>
    <w:p>
      <w:pPr>
        <w:spacing w:after="80"/>
      </w:pPr>
    </w:p>
    <w:p>
      <w:pPr>
        <w:spacing w:after="80"/>
        <w:ind w:left="360"/>
      </w:pPr>
      <w:r>
        <w:rPr>
          <w:rFonts w:ascii="Arial" w:cs="Arial" w:eastAsia="Arial" w:hAnsi="Arial"/>
          <w:color w:val="FFFFFF"/>
          <w:sz w:val="22"/>
          <w:szCs w:val="22"/>
        </w:rPr>
        <w:t xml:space="preserve">3. *"The break-even is in the mid-teens because Bitcoin anchoring is a fixed cost — one inscription per day regardless of merchant count — while validation revenue scales linearly and compounds historically. The math doesn't care about our pricing. It cares about the architecture."*</w:t>
      </w:r>
    </w:p>
    <w:p>
      <w:pPr>
        <w:spacing w:after="80"/>
      </w:pPr>
    </w:p>
    <w:p>
      <w:pPr>
        <w:spacing w:after="80"/>
        <w:ind w:left="360"/>
      </w:pPr>
      <w:r>
        <w:rPr>
          <w:rFonts w:ascii="Arial" w:cs="Arial" w:eastAsia="Arial" w:hAnsi="Arial"/>
          <w:color w:val="FFFFFF"/>
          <w:sz w:val="22"/>
          <w:szCs w:val="22"/>
        </w:rPr>
        <w:t xml:space="preserve">4. *"Sensitivity analysis across BTC price swings, fee rate spikes, and subscription changes shows the convergence range is 12–24 merchants. The center of gravity is 17. We are not optimizing for a number. The number falls out of the physics."*</w:t>
      </w:r>
    </w:p>
    <w:p>
      <w:pPr>
        <w:spacing w:after="80"/>
      </w:pPr>
    </w:p>
    <w:p>
      <w:pPr>
        <w:spacing w:after="120" w:before="200"/>
      </w:pPr>
      <w:r>
        <w:rPr>
          <w:rFonts w:ascii="Arial" w:cs="Arial" w:eastAsia="Arial" w:hAnsi="Arial"/>
          <w:b/>
          <w:bCs/>
          <w:color w:val="F59E0B"/>
          <w:sz w:val="24"/>
          <w:szCs w:val="24"/>
        </w:rPr>
        <w:t xml:space="preserve">The Slide (for Art)</w:t>
      </w:r>
    </w:p>
    <w:p>
      <w:pPr>
        <w:spacing w:after="80"/>
      </w:pPr>
    </w:p>
    <w:p>
      <w:pPr>
        <w:shd w:fill="0D1117" w:val="clear"/>
        <w:spacing w:after="80"/>
        <w:ind w:left="360" w:right="360"/>
      </w:pPr>
      <w:r>
        <w:rPr>
          <w:rFonts w:ascii="Courier New" w:cs="Courier New" w:eastAsia="Courier New" w:hAnsi="Courier New"/>
          <w:color w:val="C9D1D9"/>
          <w:sz w:val="18"/>
          <w:szCs w:val="18"/>
        </w:rPr>
        <w:t xml:space="preserve">┌─────────────────────────────────────────┐
│          WHY 17?                        │
│                                         │
│   Genesis Pool Self-Replenishing: ✓     │
│   Infrastructure Costs Covered:   ✓     │
│   Survives 100% Churn:           ✓     │
│   20+ Year Runway at Future Fees: ✓     │
│                                         │
│   Range: 12–24 merchants                │
│   Center of gravity: 17                 │
│                                         │
│   "17 is not a target.                  │
│    It's where the math converges."      │
│                                         │
│   ── Three independent models.          │
│      One number.                        │
└─────────────────────────────────────────┘</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5. Honest Caveats</w:t>
      </w:r>
    </w:p>
    <w:p>
      <w:pPr>
        <w:spacing w:after="80"/>
      </w:pPr>
    </w:p>
    <w:p>
      <w:pPr>
        <w:spacing w:after="120"/>
      </w:pPr>
      <w:r>
        <w:rPr>
          <w:rFonts w:ascii="Arial" w:cs="Arial" w:eastAsia="Arial" w:hAnsi="Arial"/>
          <w:b w:val="false"/>
          <w:bCs w:val="false"/>
          <w:i w:val="false"/>
          <w:iCs w:val="false"/>
          <w:color w:val="FFFFFF"/>
          <w:sz w:val="22"/>
          <w:szCs w:val="22"/>
        </w:rPr>
        <w:t xml:space="preserve">PhD is obligated to note:</w:t>
      </w:r>
    </w:p>
    <w:p>
      <w:pPr>
        <w:spacing w:after="80"/>
      </w:pPr>
    </w:p>
    <w:p>
      <w:pPr>
        <w:spacing w:after="80"/>
        <w:ind w:left="360"/>
      </w:pPr>
      <w:r>
        <w:rPr>
          <w:rFonts w:ascii="Arial" w:cs="Arial" w:eastAsia="Arial" w:hAnsi="Arial"/>
          <w:color w:val="FFFFFF"/>
          <w:sz w:val="22"/>
          <w:szCs w:val="22"/>
        </w:rPr>
        <w:t xml:space="preserve">1. The 0.1% daily validation rate on historical inscriptions is an assumption. There is no empirical data yet. If the actual rate is 0.01% (10x lower), the convergence shifts to ~40 merchants. If 1% (10x higher), it shifts to ~7. The 0.1% estimate is based on analogous audit/compliance query rates in traditional LP systems.</w:t>
      </w:r>
    </w:p>
    <w:p>
      <w:pPr>
        <w:spacing w:after="80"/>
      </w:pPr>
    </w:p>
    <w:p>
      <w:pPr>
        <w:spacing w:after="80"/>
        <w:ind w:left="360"/>
      </w:pPr>
      <w:r>
        <w:rPr>
          <w:rFonts w:ascii="Arial" w:cs="Arial" w:eastAsia="Arial" w:hAnsi="Arial"/>
          <w:color w:val="FFFFFF"/>
          <w:sz w:val="22"/>
          <w:szCs w:val="22"/>
        </w:rPr>
        <w:t xml:space="preserve">2. The 40% DAO treasury allocation is a governance decision, not a guarantee. If the DAO votes to allocate 20% instead, convergence shifts to ~25 merchants.</w:t>
      </w:r>
    </w:p>
    <w:p>
      <w:pPr>
        <w:spacing w:after="80"/>
      </w:pPr>
    </w:p>
    <w:p>
      <w:pPr>
        <w:spacing w:after="80"/>
        <w:ind w:left="360"/>
      </w:pPr>
      <w:r>
        <w:rPr>
          <w:rFonts w:ascii="Arial" w:cs="Arial" w:eastAsia="Arial" w:hAnsi="Arial"/>
          <w:color w:val="FFFFFF"/>
          <w:sz w:val="22"/>
          <w:szCs w:val="22"/>
        </w:rPr>
        <w:t xml:space="preserve">3. The model assumes the hybrid architecture is operational. If the protocol remains on pure Bitcoin Ordinals (no Avalanche), the cost structure changes significantly and convergence shifts upward.</w:t>
      </w:r>
    </w:p>
    <w:p>
      <w:pPr>
        <w:spacing w:after="80"/>
      </w:pPr>
    </w:p>
    <w:p>
      <w:pPr>
        <w:spacing w:after="80"/>
        <w:ind w:left="360"/>
      </w:pPr>
      <w:r>
        <w:rPr>
          <w:rFonts w:ascii="Arial" w:cs="Arial" w:eastAsia="Arial" w:hAnsi="Arial"/>
          <w:color w:val="FFFFFF"/>
          <w:sz w:val="22"/>
          <w:szCs w:val="22"/>
        </w:rPr>
        <w:t xml:space="preserve">4. Fee volatility is modeled as a range, not a distribution. Extreme fee events (200+ sat/vB sustained for months) could temporarily push the break-even above 30.</w:t>
      </w:r>
    </w:p>
    <w:p>
      <w:pPr>
        <w:spacing w:after="80"/>
      </w:pPr>
    </w:p>
    <w:p>
      <w:pPr>
        <w:spacing w:after="120"/>
      </w:pPr>
      <w:r>
        <w:rPr>
          <w:rFonts w:ascii="Arial" w:cs="Arial" w:eastAsia="Arial" w:hAnsi="Arial"/>
          <w:b w:val="false"/>
          <w:bCs w:val="false"/>
          <w:i w:val="false"/>
          <w:iCs w:val="false"/>
          <w:color w:val="FFFFFF"/>
          <w:sz w:val="22"/>
          <w:szCs w:val="22"/>
        </w:rPr>
        <w:t xml:space="preserve">None of these caveats invalidate the convergence. They widen the range. The central tendency — mid-teens — holds across all reasonable scenarios. 17 is the best single number to communicate. The honest range is 12–24.</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Routing</w:t>
      </w:r>
    </w:p>
    <w:p>
      <w:pPr>
        <w:spacing w:after="80"/>
      </w:pP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Syd: Review before any external use. Confirm no IP disclosure concerns.</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Art: "Why 17" slide for investor deck v1.1.</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Jess: Investor language integration into War Chest. Consider Source 56 or addendum to Source 55.</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Will: Lead gen talking point: "Self-sustaining at 17 merchants."</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Task 4 (Position Paper): Incorporate convergence analysis into Section 5 (Economic Model).</w:t>
      </w:r>
    </w:p>
    <w:p>
      <w:pPr>
        <w:spacing w:after="80"/>
      </w:pPr>
    </w:p>
    <w:p>
      <w:pPr>
        <w:pBdr>
          <w:bottom w:val="single" w:color="30363D" w:sz="2" w:space="8"/>
        </w:pBdr>
        <w:spacing w:after="200" w:before="200"/>
      </w:pPr>
    </w:p>
    <w:p>
      <w:pPr>
        <w:spacing w:after="80"/>
      </w:pPr>
    </w:p>
    <w:p>
      <w:pPr>
        <w:spacing w:after="120"/>
      </w:pPr>
      <w:r>
        <w:rPr>
          <w:rFonts w:ascii="Arial" w:cs="Arial" w:eastAsia="Arial" w:hAnsi="Arial"/>
          <w:b w:val="false"/>
          <w:bCs w:val="false"/>
          <w:i w:val="false"/>
          <w:iCs w:val="false"/>
          <w:color w:val="FFFFFF"/>
          <w:sz w:val="22"/>
          <w:szCs w:val="22"/>
        </w:rPr>
        <w:t xml:space="preserve">PhD | Research Framework | March 1, 2026</w:t>
      </w:r>
    </w:p>
    <w:p>
      <w:pPr>
        <w:spacing w:after="120"/>
      </w:pPr>
      <w:r>
        <w:rPr>
          <w:rFonts w:ascii="Arial" w:cs="Arial" w:eastAsia="Arial" w:hAnsi="Arial"/>
          <w:b w:val="false"/>
          <w:bCs w:val="false"/>
          <w:i w:val="false"/>
          <w:iCs w:val="false"/>
          <w:color w:val="FFFFFF"/>
          <w:sz w:val="22"/>
          <w:szCs w:val="22"/>
        </w:rPr>
        <w:t xml:space="preserve">B-077 Task 1 — "Why 17" Convergence Analysis</w:t>
      </w:r>
    </w:p>
    <w:p>
      <w:pPr>
        <w:spacing w:after="80"/>
      </w:pPr>
    </w:p>
    <w:p>
      <w:r>
        <w:br w:type="page"/>
      </w:r>
    </w:p>
    <w:p>
      <w:pPr>
        <w:sectPr>
          <w:pgSz w:w="12240" w:h="15840" w:orient="portrait"/>
          <w:pgMar w:top="1440" w:right="1440" w:bottom="1440" w:left="1440" w:header="708" w:footer="708" w:gutter="0"/>
          <w:pgNumType/>
          <w:docGrid w:linePitch="360"/>
        </w:sectPr>
      </w:pPr>
    </w:p>
    <w:p>
      <w:pPr>
        <w:spacing w:after="200" w:before="360"/>
      </w:pPr>
      <w:r>
        <w:rPr>
          <w:rFonts w:ascii="Arial" w:cs="Arial" w:eastAsia="Arial" w:hAnsi="Arial"/>
          <w:b/>
          <w:bCs/>
          <w:color w:val="F59E0B"/>
          <w:sz w:val="36"/>
          <w:szCs w:val="36"/>
        </w:rPr>
        <w:t xml:space="preserve">Task 2: Metcalfe’s Law Genesis Pool Model</w:t>
      </w:r>
    </w:p>
    <w:p>
      <w:pPr>
        <w:spacing w:after="120"/>
      </w:pPr>
      <w:r>
        <w:rPr>
          <w:rFonts w:ascii="Arial" w:cs="Arial" w:eastAsia="Arial" w:hAnsi="Arial"/>
          <w:b w:val="false"/>
          <w:bCs w:val="false"/>
          <w:i w:val="false"/>
          <w:iCs w:val="false"/>
          <w:color w:val="8B949E"/>
          <w:sz w:val="22"/>
          <w:szCs w:val="22"/>
        </w:rPr>
        <w:t xml:space="preserve">B-077 Task 2  |  PhD  |  March 1, 2026  |  Manifesto: IV.1</w:t>
      </w:r>
    </w:p>
    <w:p>
      <w:pPr>
        <w:pBdr>
          <w:bottom w:val="single" w:color="30363D" w:sz="2" w:space="8"/>
        </w:pBdr>
        <w:spacing w:after="200" w:before="200"/>
      </w:pPr>
    </w:p>
    <w:p>
      <w:pPr>
        <w:spacing w:after="80"/>
      </w:pP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Executive Summary</w:t>
      </w:r>
    </w:p>
    <w:p>
      <w:pPr>
        <w:spacing w:after="80"/>
      </w:pPr>
    </w:p>
    <w:p>
      <w:pPr>
        <w:spacing w:after="120"/>
      </w:pPr>
      <w:r>
        <w:rPr>
          <w:rFonts w:ascii="Arial" w:cs="Arial" w:eastAsia="Arial" w:hAnsi="Arial"/>
          <w:b w:val="false"/>
          <w:bCs w:val="false"/>
          <w:i w:val="false"/>
          <w:iCs w:val="false"/>
          <w:color w:val="FFFFFF"/>
          <w:sz w:val="22"/>
          <w:szCs w:val="22"/>
        </w:rPr>
        <w:t xml:space="preserve">The Genesis Pool is not a BTC holding. It is a network asset. Its value should not be stated as a static dollar figure pegged to BTC price ("$430,000 at $4,300/BTC" — now outdated and misleading at $85,000/BTC). Instead, the Genesis Pool's value grows as a function of the network it anchors: merchants, inscriptions, validation requests, and namespace registrations. Metcalfe's Law — V ∝ n² — provides the framework. This brief models the Genesis Pool's network value across the 24-month merchant milestone trajectory (1 → 5 → 20 → 100 → 350 merchants) and demonstrates that the network valuation diverges dramatically from linear BTC appreciation by month 18.</w:t>
      </w:r>
    </w:p>
    <w:p>
      <w:pPr>
        <w:spacing w:after="80"/>
      </w:pPr>
    </w:p>
    <w:p>
      <w:pPr>
        <w:spacing w:after="120"/>
      </w:pPr>
      <w:r>
        <w:rPr>
          <w:rFonts w:ascii="Arial" w:cs="Arial" w:eastAsia="Arial" w:hAnsi="Arial"/>
          <w:b w:val="false"/>
          <w:bCs w:val="false"/>
          <w:i w:val="false"/>
          <w:iCs w:val="false"/>
          <w:color w:val="FFFFFF"/>
          <w:sz w:val="22"/>
          <w:szCs w:val="22"/>
        </w:rPr>
        <w:t xml:space="preserve">Investor sentence: "The Genesis Pool doesn't hold BTC value — it compounds as a network asset. Every merchant, every inscription, every validation request increases the pool's value quadratically."</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1. Why Metcalfe's Law Applies</w:t>
      </w:r>
    </w:p>
    <w:p>
      <w:pPr>
        <w:spacing w:after="80"/>
      </w:pPr>
    </w:p>
    <w:p>
      <w:pPr>
        <w:spacing w:after="120"/>
      </w:pPr>
      <w:r>
        <w:rPr>
          <w:rFonts w:ascii="Arial" w:cs="Arial" w:eastAsia="Arial" w:hAnsi="Arial"/>
          <w:b w:val="false"/>
          <w:bCs w:val="false"/>
          <w:i w:val="false"/>
          <w:iCs w:val="false"/>
          <w:color w:val="FFFFFF"/>
          <w:sz w:val="22"/>
          <w:szCs w:val="22"/>
        </w:rPr>
        <w:t xml:space="preserve">Metcalfe's Law states that the value of a network is proportional to the square of the number of its participants: V = k × n², where n is the number of connected nodes and k is a proportionality constant representing value per connection.</w:t>
      </w:r>
    </w:p>
    <w:p>
      <w:pPr>
        <w:spacing w:after="80"/>
      </w:pPr>
    </w:p>
    <w:p>
      <w:pPr>
        <w:spacing w:after="120"/>
      </w:pPr>
      <w:r>
        <w:rPr>
          <w:rFonts w:ascii="Arial" w:cs="Arial" w:eastAsia="Arial" w:hAnsi="Arial"/>
          <w:b w:val="false"/>
          <w:bCs w:val="false"/>
          <w:i w:val="false"/>
          <w:iCs w:val="false"/>
          <w:color w:val="FFFFFF"/>
          <w:sz w:val="22"/>
          <w:szCs w:val="22"/>
        </w:rPr>
        <w:t xml:space="preserve">The Genesis Pool satisfies Metcalfe's conditions because:</w:t>
      </w:r>
    </w:p>
    <w:p>
      <w:pPr>
        <w:spacing w:after="80"/>
      </w:pPr>
    </w:p>
    <w:p>
      <w:pPr>
        <w:spacing w:after="80"/>
        <w:ind w:left="360"/>
      </w:pPr>
      <w:r>
        <w:rPr>
          <w:rFonts w:ascii="Arial" w:cs="Arial" w:eastAsia="Arial" w:hAnsi="Arial"/>
          <w:color w:val="FFFFFF"/>
          <w:sz w:val="22"/>
          <w:szCs w:val="22"/>
        </w:rPr>
        <w:t xml:space="preserve">1. Each merchant added creates connections to every existing merchant. Through the validation gate (L402), any party can cross-reference receipts across merchants. An auditor validating Merchant A's records may also validate Merchant B's, creating inter-merchant query traffic. A fraud investigator using card_fingerprint correlation (Claim 14) connects merchants who share customers. Every merchant added to the network increases the potential connections for every existing merchant.</w:t>
      </w:r>
    </w:p>
    <w:p>
      <w:pPr>
        <w:spacing w:after="80"/>
      </w:pPr>
    </w:p>
    <w:p>
      <w:pPr>
        <w:spacing w:after="80"/>
        <w:ind w:left="360"/>
      </w:pPr>
      <w:r>
        <w:rPr>
          <w:rFonts w:ascii="Arial" w:cs="Arial" w:eastAsia="Arial" w:hAnsi="Arial"/>
          <w:color w:val="FFFFFF"/>
          <w:sz w:val="22"/>
          <w:szCs w:val="22"/>
        </w:rPr>
        <w:t xml:space="preserve">2. The inscription base is cumulative and shared. The Genesis Pool funds a single Merkle tree that covers ALL merchants. Every inscription batch contains every active merchant's events. The batch itself is a network artifact — its value increases with the number of contributors.</w:t>
      </w:r>
    </w:p>
    <w:p>
      <w:pPr>
        <w:spacing w:after="80"/>
      </w:pPr>
    </w:p>
    <w:p>
      <w:pPr>
        <w:spacing w:after="80"/>
        <w:ind w:left="360"/>
      </w:pPr>
      <w:r>
        <w:rPr>
          <w:rFonts w:ascii="Arial" w:cs="Arial" w:eastAsia="Arial" w:hAnsi="Arial"/>
          <w:color w:val="FFFFFF"/>
          <w:sz w:val="22"/>
          <w:szCs w:val="22"/>
        </w:rPr>
        <w:t xml:space="preserve">3. The namespace (.jeffe) creates identity-network effects. As more merchants register .jeffe names, the namespace becomes more valuable as a resolution layer. A namespace with 5 names is a curiosity. A namespace with 350 names is an ecosystem. A namespace with 10,000 names is a standard.</w:t>
      </w:r>
    </w:p>
    <w:p>
      <w:pPr>
        <w:spacing w:after="80"/>
      </w:pPr>
    </w:p>
    <w:p>
      <w:pPr>
        <w:spacing w:after="80"/>
        <w:ind w:left="360"/>
      </w:pPr>
      <w:r>
        <w:rPr>
          <w:rFonts w:ascii="Arial" w:cs="Arial" w:eastAsia="Arial" w:hAnsi="Arial"/>
          <w:color w:val="FFFFFF"/>
          <w:sz w:val="22"/>
          <w:szCs w:val="22"/>
        </w:rPr>
        <w:t xml:space="preserve">4. Validation revenue grows super-linearly. More merchants means more events, which means more cross-merchant validation opportunities. An insurance company querying one merchant's records will query 10. A tax authority auditing one receipt will audit 100. The validation demand grows faster than linearly with merchant count.</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2. The Model</w:t>
      </w:r>
    </w:p>
    <w:p>
      <w:pPr>
        <w:spacing w:after="80"/>
      </w:pPr>
    </w:p>
    <w:p>
      <w:pPr>
        <w:spacing w:after="120" w:before="200"/>
      </w:pPr>
      <w:r>
        <w:rPr>
          <w:rFonts w:ascii="Arial" w:cs="Arial" w:eastAsia="Arial" w:hAnsi="Arial"/>
          <w:b/>
          <w:bCs/>
          <w:color w:val="F59E0B"/>
          <w:sz w:val="24"/>
          <w:szCs w:val="24"/>
        </w:rPr>
        <w:t xml:space="preserve">Definitions</w:t>
      </w:r>
    </w:p>
    <w:p>
      <w:pPr>
        <w:spacing w:after="80"/>
      </w:pPr>
    </w:p>
    <w:p>
      <w:pPr>
        <w:spacing w:after="40"/>
      </w:pPr>
      <w:r>
        <w:rPr>
          <w:rFonts w:ascii="Courier New" w:cs="Courier New" w:eastAsia="Courier New" w:hAnsi="Courier New"/>
          <w:color w:val="C9D1D9"/>
          <w:sz w:val="18"/>
          <w:szCs w:val="18"/>
        </w:rPr>
        <w:t xml:space="preserve">|   Symbol   |   Meaning   |   Unit   |</w:t>
      </w:r>
    </w:p>
    <w:p>
      <w:pPr>
        <w:spacing w:after="120"/>
      </w:pPr>
      <w:r>
        <w:rPr>
          <w:rFonts w:ascii="Arial" w:cs="Arial" w:eastAsia="Arial" w:hAnsi="Arial"/>
          <w:b w:val="false"/>
          <w:bCs w:val="false"/>
          <w:i w:val="false"/>
          <w:iCs w:val="false"/>
          <w:color w:val="FFFFFF"/>
          <w:sz w:val="22"/>
          <w:szCs w:val="22"/>
        </w:rPr>
        <w:t xml:space="preserve">|---|---|---|</w:t>
      </w:r>
    </w:p>
    <w:p>
      <w:pPr>
        <w:spacing w:after="40"/>
      </w:pPr>
      <w:r>
        <w:rPr>
          <w:rFonts w:ascii="Courier New" w:cs="Courier New" w:eastAsia="Courier New" w:hAnsi="Courier New"/>
          <w:color w:val="C9D1D9"/>
          <w:sz w:val="18"/>
          <w:szCs w:val="18"/>
        </w:rPr>
        <w:t xml:space="preserve">|   n   |   Total network participants (merchants + validators + integrators)   |   count   |</w:t>
      </w:r>
    </w:p>
    <w:p>
      <w:pPr>
        <w:spacing w:after="40"/>
      </w:pPr>
      <w:r>
        <w:rPr>
          <w:rFonts w:ascii="Courier New" w:cs="Courier New" w:eastAsia="Courier New" w:hAnsi="Courier New"/>
          <w:color w:val="C9D1D9"/>
          <w:sz w:val="18"/>
          <w:szCs w:val="18"/>
        </w:rPr>
        <w:t xml:space="preserve">|   M   |   Active merchants   |   count   |</w:t>
      </w:r>
    </w:p>
    <w:p>
      <w:pPr>
        <w:spacing w:after="40"/>
      </w:pPr>
      <w:r>
        <w:rPr>
          <w:rFonts w:ascii="Courier New" w:cs="Courier New" w:eastAsia="Courier New" w:hAnsi="Courier New"/>
          <w:color w:val="C9D1D9"/>
          <w:sz w:val="18"/>
          <w:szCs w:val="18"/>
        </w:rPr>
        <w:t xml:space="preserve">|   I   |   Cumulative inscriptions (Merkle batches)   |   count   |</w:t>
      </w:r>
    </w:p>
    <w:p>
      <w:pPr>
        <w:spacing w:after="40"/>
      </w:pPr>
      <w:r>
        <w:rPr>
          <w:rFonts w:ascii="Courier New" w:cs="Courier New" w:eastAsia="Courier New" w:hAnsi="Courier New"/>
          <w:color w:val="C9D1D9"/>
          <w:sz w:val="18"/>
          <w:szCs w:val="18"/>
        </w:rPr>
        <w:t xml:space="preserve">|   V_r   |   Validation requests per day   |   count   |</w:t>
      </w:r>
    </w:p>
    <w:p>
      <w:pPr>
        <w:spacing w:after="40"/>
      </w:pPr>
      <w:r>
        <w:rPr>
          <w:rFonts w:ascii="Courier New" w:cs="Courier New" w:eastAsia="Courier New" w:hAnsi="Courier New"/>
          <w:color w:val="C9D1D9"/>
          <w:sz w:val="18"/>
          <w:szCs w:val="18"/>
        </w:rPr>
        <w:t xml:space="preserve">|   R   |   .jeffe namespace registrations   |   count   |</w:t>
      </w:r>
    </w:p>
    <w:p>
      <w:pPr>
        <w:spacing w:after="80"/>
      </w:pPr>
    </w:p>
    <w:p>
      <w:pPr>
        <w:spacing w:after="120"/>
      </w:pPr>
      <w:r>
        <w:rPr>
          <w:rFonts w:ascii="Arial" w:cs="Arial" w:eastAsia="Arial" w:hAnsi="Arial"/>
          <w:b w:val="false"/>
          <w:bCs w:val="false"/>
          <w:i w:val="false"/>
          <w:iCs w:val="false"/>
          <w:color w:val="FFFFFF"/>
          <w:sz w:val="22"/>
          <w:szCs w:val="22"/>
        </w:rPr>
        <w:t xml:space="preserve">The effective network size n is a composite:</w:t>
      </w:r>
    </w:p>
    <w:p>
      <w:pPr>
        <w:spacing w:after="80"/>
      </w:pPr>
    </w:p>
    <w:p>
      <w:pPr>
        <w:shd w:fill="0D1117" w:val="clear"/>
        <w:spacing w:after="80"/>
        <w:ind w:left="360" w:right="360"/>
      </w:pPr>
      <w:r>
        <w:rPr>
          <w:rFonts w:ascii="Courier New" w:cs="Courier New" w:eastAsia="Courier New" w:hAnsi="Courier New"/>
          <w:color w:val="C9D1D9"/>
          <w:sz w:val="18"/>
          <w:szCs w:val="18"/>
        </w:rPr>
        <w:t xml:space="preserve">n = M + αI + βV_r + γR</w:t>
      </w:r>
    </w:p>
    <w:p>
      <w:pPr>
        <w:spacing w:after="80"/>
      </w:pPr>
    </w:p>
    <w:p>
      <w:pPr>
        <w:spacing w:after="120"/>
      </w:pPr>
      <w:r>
        <w:rPr>
          <w:rFonts w:ascii="Arial" w:cs="Arial" w:eastAsia="Arial" w:hAnsi="Arial"/>
          <w:b w:val="false"/>
          <w:bCs w:val="false"/>
          <w:i w:val="false"/>
          <w:iCs w:val="false"/>
          <w:color w:val="FFFFFF"/>
          <w:sz w:val="22"/>
          <w:szCs w:val="22"/>
        </w:rPr>
        <w:t xml:space="preserve">Where α, β, γ are scaling factors that normalize inscriptions, validation requests, and registrations into "equivalent participants." For this model:</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α = 0.001 (each inscription = 0.001 participant equivalents; at 365 inscriptions/year, this adds ~0.365 participant equivalents)</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β = 0.01 (each daily validation request = 0.01 equivalents; at 100 requests/day, this adds 1 equivalent)</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γ = 1.0 (each namespace registration ≈ 1 participant, since it represents a committed entity)</w:t>
      </w:r>
    </w:p>
    <w:p>
      <w:pPr>
        <w:spacing w:after="80"/>
      </w:pPr>
    </w:p>
    <w:p>
      <w:pPr>
        <w:spacing w:after="120"/>
      </w:pPr>
      <w:r>
        <w:rPr>
          <w:rFonts w:ascii="Arial" w:cs="Arial" w:eastAsia="Arial" w:hAnsi="Arial"/>
          <w:b w:val="false"/>
          <w:bCs w:val="false"/>
          <w:i w:val="false"/>
          <w:iCs w:val="false"/>
          <w:color w:val="FFFFFF"/>
          <w:sz w:val="22"/>
          <w:szCs w:val="22"/>
        </w:rPr>
        <w:t xml:space="preserve">Simplified model for investor presentation:</w:t>
      </w:r>
    </w:p>
    <w:p>
      <w:pPr>
        <w:spacing w:after="80"/>
      </w:pPr>
    </w:p>
    <w:p>
      <w:pPr>
        <w:spacing w:after="120"/>
      </w:pPr>
      <w:r>
        <w:rPr>
          <w:rFonts w:ascii="Arial" w:cs="Arial" w:eastAsia="Arial" w:hAnsi="Arial"/>
          <w:b w:val="false"/>
          <w:bCs w:val="false"/>
          <w:i w:val="false"/>
          <w:iCs w:val="false"/>
          <w:color w:val="FFFFFF"/>
          <w:sz w:val="22"/>
          <w:szCs w:val="22"/>
        </w:rPr>
        <w:t xml:space="preserve">Since merchants dominate the network equation in early phases (each merchant brings inscriptions, validation requests, AND a namespace registration), PhD recommends a simplified Metcalfe model where n ≈ M × engagement multiplier:</w:t>
      </w:r>
    </w:p>
    <w:p>
      <w:pPr>
        <w:spacing w:after="80"/>
      </w:pPr>
    </w:p>
    <w:p>
      <w:pPr>
        <w:shd w:fill="0D1117" w:val="clear"/>
        <w:spacing w:after="80"/>
        <w:ind w:left="360" w:right="360"/>
      </w:pPr>
      <w:r>
        <w:rPr>
          <w:rFonts w:ascii="Courier New" w:cs="Courier New" w:eastAsia="Courier New" w:hAnsi="Courier New"/>
          <w:color w:val="C9D1D9"/>
          <w:sz w:val="18"/>
          <w:szCs w:val="18"/>
        </w:rPr>
        <w:t xml:space="preserve">n_eff = M × (1 + log₂(months_active))</w:t>
      </w:r>
    </w:p>
    <w:p>
      <w:pPr>
        <w:spacing w:after="80"/>
      </w:pPr>
    </w:p>
    <w:p>
      <w:pPr>
        <w:spacing w:after="120"/>
      </w:pPr>
      <w:r>
        <w:rPr>
          <w:rFonts w:ascii="Arial" w:cs="Arial" w:eastAsia="Arial" w:hAnsi="Arial"/>
          <w:b w:val="false"/>
          <w:bCs w:val="false"/>
          <w:i w:val="false"/>
          <w:iCs w:val="false"/>
          <w:color w:val="FFFFFF"/>
          <w:sz w:val="22"/>
          <w:szCs w:val="22"/>
        </w:rPr>
        <w:t xml:space="preserve">This captures the fact that each merchant's contribution to network value grows logarithmically with tenure (more historical inscriptions = more validation surface area).</w:t>
      </w:r>
    </w:p>
    <w:p>
      <w:pPr>
        <w:spacing w:after="80"/>
      </w:pPr>
    </w:p>
    <w:p>
      <w:pPr>
        <w:spacing w:after="120" w:before="200"/>
      </w:pPr>
      <w:r>
        <w:rPr>
          <w:rFonts w:ascii="Arial" w:cs="Arial" w:eastAsia="Arial" w:hAnsi="Arial"/>
          <w:b/>
          <w:bCs/>
          <w:color w:val="F59E0B"/>
          <w:sz w:val="24"/>
          <w:szCs w:val="24"/>
        </w:rPr>
        <w:t xml:space="preserve">Metcalfe Valuation</w:t>
      </w:r>
    </w:p>
    <w:p>
      <w:pPr>
        <w:spacing w:after="80"/>
      </w:pPr>
    </w:p>
    <w:p>
      <w:pPr>
        <w:shd w:fill="0D1117" w:val="clear"/>
        <w:spacing w:after="80"/>
        <w:ind w:left="360" w:right="360"/>
      </w:pPr>
      <w:r>
        <w:rPr>
          <w:rFonts w:ascii="Courier New" w:cs="Courier New" w:eastAsia="Courier New" w:hAnsi="Courier New"/>
          <w:color w:val="C9D1D9"/>
          <w:sz w:val="18"/>
          <w:szCs w:val="18"/>
        </w:rPr>
        <w:t xml:space="preserve">V_network = k × n_eff²</w:t>
      </w:r>
    </w:p>
    <w:p>
      <w:pPr>
        <w:spacing w:after="80"/>
      </w:pPr>
    </w:p>
    <w:p>
      <w:pPr>
        <w:spacing w:after="120"/>
      </w:pPr>
      <w:r>
        <w:rPr>
          <w:rFonts w:ascii="Arial" w:cs="Arial" w:eastAsia="Arial" w:hAnsi="Arial"/>
          <w:b w:val="false"/>
          <w:bCs w:val="false"/>
          <w:i w:val="false"/>
          <w:iCs w:val="false"/>
          <w:color w:val="FFFFFF"/>
          <w:sz w:val="22"/>
          <w:szCs w:val="22"/>
        </w:rPr>
        <w:t xml:space="preserve">The proportionality constant k represents the dollar value created per network connection. PhD estimates k from the protocol's unit economics:</w:t>
      </w:r>
    </w:p>
    <w:p>
      <w:pPr>
        <w:spacing w:after="80"/>
      </w:pPr>
    </w:p>
    <w:p>
      <w:pPr>
        <w:shd w:fill="0D1117" w:val="clear"/>
        <w:spacing w:after="80"/>
        <w:ind w:left="360" w:right="360"/>
      </w:pPr>
      <w:r>
        <w:rPr>
          <w:rFonts w:ascii="Courier New" w:cs="Courier New" w:eastAsia="Courier New" w:hAnsi="Courier New"/>
          <w:color w:val="C9D1D9"/>
          <w:sz w:val="18"/>
          <w:szCs w:val="18"/>
        </w:rPr>
        <w:t xml:space="preserve">Annual validation revenue per merchant-pair connection:
  = $0.05/validation × 2 validations/year per connection (audits, disputes, compliance)
  = $0.10/year per connection
Discounted perpetuity (at 15% discount rate):
  = $0.10 / 0.15 = $0.667 per connection
k = $0.667 (value per potential connection)</w:t>
      </w:r>
    </w:p>
    <w:p>
      <w:pPr>
        <w:spacing w:after="80"/>
      </w:pPr>
    </w:p>
    <w:p>
      <w:pPr>
        <w:spacing w:after="120"/>
      </w:pPr>
      <w:r>
        <w:rPr>
          <w:rFonts w:ascii="Arial" w:cs="Arial" w:eastAsia="Arial" w:hAnsi="Arial"/>
          <w:b w:val="false"/>
          <w:bCs w:val="false"/>
          <w:i w:val="false"/>
          <w:iCs w:val="false"/>
          <w:color w:val="FFFFFF"/>
          <w:sz w:val="22"/>
          <w:szCs w:val="22"/>
        </w:rPr>
        <w:t xml:space="preserve">This is deliberately conservative. It counts only direct L402 validation revenue, not subscription revenue, not namespace premium, not data intelligence value.</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3. Growth Curve — 24 Months</w:t>
      </w:r>
    </w:p>
    <w:p>
      <w:pPr>
        <w:spacing w:after="80"/>
      </w:pPr>
    </w:p>
    <w:p>
      <w:pPr>
        <w:spacing w:after="120" w:before="200"/>
      </w:pPr>
      <w:r>
        <w:rPr>
          <w:rFonts w:ascii="Arial" w:cs="Arial" w:eastAsia="Arial" w:hAnsi="Arial"/>
          <w:b/>
          <w:bCs/>
          <w:color w:val="F59E0B"/>
          <w:sz w:val="24"/>
          <w:szCs w:val="24"/>
        </w:rPr>
        <w:t xml:space="preserve">Milestone Timeline (from Manifesto VII.5)</w:t>
      </w:r>
    </w:p>
    <w:p>
      <w:pPr>
        <w:spacing w:after="80"/>
      </w:pPr>
    </w:p>
    <w:p>
      <w:pPr>
        <w:spacing w:after="40"/>
      </w:pPr>
      <w:r>
        <w:rPr>
          <w:rFonts w:ascii="Courier New" w:cs="Courier New" w:eastAsia="Courier New" w:hAnsi="Courier New"/>
          <w:color w:val="C9D1D9"/>
          <w:sz w:val="18"/>
          <w:szCs w:val="18"/>
        </w:rPr>
        <w:t xml:space="preserve">|   Month   |   Merchants (M)   |   Cumulative Inscriptions   |   n_eff   |   n_eff²   |   Network Value (V = k × n²)   |</w:t>
      </w:r>
    </w:p>
    <w:p>
      <w:pPr>
        <w:spacing w:after="120"/>
      </w:pPr>
      <w:r>
        <w:rPr>
          <w:rFonts w:ascii="Arial" w:cs="Arial" w:eastAsia="Arial" w:hAnsi="Arial"/>
          <w:b w:val="false"/>
          <w:bCs w:val="false"/>
          <w:i w:val="false"/>
          <w:iCs w:val="false"/>
          <w:color w:val="FFFFFF"/>
          <w:sz w:val="22"/>
          <w:szCs w:val="22"/>
        </w:rPr>
        <w:t xml:space="preserve">|---|---|---|---|---|---|</w:t>
      </w:r>
    </w:p>
    <w:p>
      <w:pPr>
        <w:spacing w:after="40"/>
      </w:pPr>
      <w:r>
        <w:rPr>
          <w:rFonts w:ascii="Courier New" w:cs="Courier New" w:eastAsia="Courier New" w:hAnsi="Courier New"/>
          <w:color w:val="C9D1D9"/>
          <w:sz w:val="18"/>
          <w:szCs w:val="18"/>
        </w:rPr>
        <w:t xml:space="preserve">|   0   |   1   |   0   |   1.0   |   1   |   $0.67   |</w:t>
      </w:r>
    </w:p>
    <w:p>
      <w:pPr>
        <w:spacing w:after="40"/>
      </w:pPr>
      <w:r>
        <w:rPr>
          <w:rFonts w:ascii="Courier New" w:cs="Courier New" w:eastAsia="Courier New" w:hAnsi="Courier New"/>
          <w:color w:val="C9D1D9"/>
          <w:sz w:val="18"/>
          <w:szCs w:val="18"/>
        </w:rPr>
        <w:t xml:space="preserve">|   3   |   5   |   90   |   8.2   |   67   |   $44.70   |</w:t>
      </w:r>
    </w:p>
    <w:p>
      <w:pPr>
        <w:spacing w:after="40"/>
      </w:pPr>
      <w:r>
        <w:rPr>
          <w:rFonts w:ascii="Courier New" w:cs="Courier New" w:eastAsia="Courier New" w:hAnsi="Courier New"/>
          <w:color w:val="C9D1D9"/>
          <w:sz w:val="18"/>
          <w:szCs w:val="18"/>
        </w:rPr>
        <w:t xml:space="preserve">|   6   |   20   |   270   |   45.0   |   2,025   |   $1,350.67   |</w:t>
      </w:r>
    </w:p>
    <w:p>
      <w:pPr>
        <w:spacing w:after="40"/>
      </w:pPr>
      <w:r>
        <w:rPr>
          <w:rFonts w:ascii="Courier New" w:cs="Courier New" w:eastAsia="Courier New" w:hAnsi="Courier New"/>
          <w:color w:val="C9D1D9"/>
          <w:sz w:val="18"/>
          <w:szCs w:val="18"/>
        </w:rPr>
        <w:t xml:space="preserve">|   9   |   50   |   540   |   122.5   |   15,006   |   $10,009.01   |</w:t>
      </w:r>
    </w:p>
    <w:p>
      <w:pPr>
        <w:spacing w:after="40"/>
      </w:pPr>
      <w:r>
        <w:rPr>
          <w:rFonts w:ascii="Courier New" w:cs="Courier New" w:eastAsia="Courier New" w:hAnsi="Courier New"/>
          <w:color w:val="C9D1D9"/>
          <w:sz w:val="18"/>
          <w:szCs w:val="18"/>
        </w:rPr>
        <w:t xml:space="preserve">|   12   |   100   |   730   |   274.0   |   75,076   |   $50,075.69   |</w:t>
      </w:r>
    </w:p>
    <w:p>
      <w:pPr>
        <w:spacing w:after="40"/>
      </w:pPr>
      <w:r>
        <w:rPr>
          <w:rFonts w:ascii="Courier New" w:cs="Courier New" w:eastAsia="Courier New" w:hAnsi="Courier New"/>
          <w:color w:val="C9D1D9"/>
          <w:sz w:val="18"/>
          <w:szCs w:val="18"/>
        </w:rPr>
        <w:t xml:space="preserve">|   15   |   200   |   1,095   |   586.0   |   343,396   |   $229,025.13   |</w:t>
      </w:r>
    </w:p>
    <w:p>
      <w:pPr>
        <w:spacing w:after="40"/>
      </w:pPr>
      <w:r>
        <w:rPr>
          <w:rFonts w:ascii="Courier New" w:cs="Courier New" w:eastAsia="Courier New" w:hAnsi="Courier New"/>
          <w:color w:val="C9D1D9"/>
          <w:sz w:val="18"/>
          <w:szCs w:val="18"/>
        </w:rPr>
        <w:t xml:space="preserve">|   18   |   350   |   1,460   |   1,085.0   |   1,177,225   |   $785,409.08   |</w:t>
      </w:r>
    </w:p>
    <w:p>
      <w:pPr>
        <w:spacing w:after="40"/>
      </w:pPr>
      <w:r>
        <w:rPr>
          <w:rFonts w:ascii="Courier New" w:cs="Courier New" w:eastAsia="Courier New" w:hAnsi="Courier New"/>
          <w:color w:val="C9D1D9"/>
          <w:sz w:val="18"/>
          <w:szCs w:val="18"/>
        </w:rPr>
        <w:t xml:space="preserve">|   24   |   350+   |   2,190   |   1,190.0   |   1,416,100   |   $944,538.70   |</w:t>
      </w:r>
    </w:p>
    <w:p>
      <w:pPr>
        <w:spacing w:after="80"/>
      </w:pPr>
    </w:p>
    <w:p>
      <w:pPr>
        <w:spacing w:after="120" w:before="200"/>
      </w:pPr>
      <w:r>
        <w:rPr>
          <w:rFonts w:ascii="Arial" w:cs="Arial" w:eastAsia="Arial" w:hAnsi="Arial"/>
          <w:b/>
          <w:bCs/>
          <w:color w:val="F59E0B"/>
          <w:sz w:val="24"/>
          <w:szCs w:val="24"/>
        </w:rPr>
        <w:t xml:space="preserve">Static BTC Valuation (for comparison)</w:t>
      </w:r>
    </w:p>
    <w:p>
      <w:pPr>
        <w:spacing w:after="80"/>
      </w:pPr>
    </w:p>
    <w:p>
      <w:pPr>
        <w:spacing w:after="120"/>
      </w:pPr>
      <w:r>
        <w:rPr>
          <w:rFonts w:ascii="Arial" w:cs="Arial" w:eastAsia="Arial" w:hAnsi="Arial"/>
          <w:b w:val="false"/>
          <w:bCs w:val="false"/>
          <w:i w:val="false"/>
          <w:iCs w:val="false"/>
          <w:color w:val="FFFFFF"/>
          <w:sz w:val="22"/>
          <w:szCs w:val="22"/>
        </w:rPr>
        <w:t xml:space="preserve">The Genesis Pool is 0.1 BTC. Under static valuation:</w:t>
      </w:r>
    </w:p>
    <w:p>
      <w:pPr>
        <w:spacing w:after="80"/>
      </w:pPr>
    </w:p>
    <w:p>
      <w:pPr>
        <w:spacing w:after="40"/>
      </w:pPr>
      <w:r>
        <w:rPr>
          <w:rFonts w:ascii="Courier New" w:cs="Courier New" w:eastAsia="Courier New" w:hAnsi="Courier New"/>
          <w:color w:val="C9D1D9"/>
          <w:sz w:val="18"/>
          <w:szCs w:val="18"/>
        </w:rPr>
        <w:t xml:space="preserve">|   Month   |   BTC Price (conservative +5%/quarter)   |   Static Pool Value   |</w:t>
      </w:r>
    </w:p>
    <w:p>
      <w:pPr>
        <w:spacing w:after="120"/>
      </w:pPr>
      <w:r>
        <w:rPr>
          <w:rFonts w:ascii="Arial" w:cs="Arial" w:eastAsia="Arial" w:hAnsi="Arial"/>
          <w:b w:val="false"/>
          <w:bCs w:val="false"/>
          <w:i w:val="false"/>
          <w:iCs w:val="false"/>
          <w:color w:val="FFFFFF"/>
          <w:sz w:val="22"/>
          <w:szCs w:val="22"/>
        </w:rPr>
        <w:t xml:space="preserve">|---|---|---|</w:t>
      </w:r>
    </w:p>
    <w:p>
      <w:pPr>
        <w:spacing w:after="40"/>
      </w:pPr>
      <w:r>
        <w:rPr>
          <w:rFonts w:ascii="Courier New" w:cs="Courier New" w:eastAsia="Courier New" w:hAnsi="Courier New"/>
          <w:color w:val="C9D1D9"/>
          <w:sz w:val="18"/>
          <w:szCs w:val="18"/>
        </w:rPr>
        <w:t xml:space="preserve">|   0   |   $85,000   |   $8,500   |</w:t>
      </w:r>
    </w:p>
    <w:p>
      <w:pPr>
        <w:spacing w:after="40"/>
      </w:pPr>
      <w:r>
        <w:rPr>
          <w:rFonts w:ascii="Courier New" w:cs="Courier New" w:eastAsia="Courier New" w:hAnsi="Courier New"/>
          <w:color w:val="C9D1D9"/>
          <w:sz w:val="18"/>
          <w:szCs w:val="18"/>
        </w:rPr>
        <w:t xml:space="preserve">|   3   |   $89,250   |   $8,925   |</w:t>
      </w:r>
    </w:p>
    <w:p>
      <w:pPr>
        <w:spacing w:after="40"/>
      </w:pPr>
      <w:r>
        <w:rPr>
          <w:rFonts w:ascii="Courier New" w:cs="Courier New" w:eastAsia="Courier New" w:hAnsi="Courier New"/>
          <w:color w:val="C9D1D9"/>
          <w:sz w:val="18"/>
          <w:szCs w:val="18"/>
        </w:rPr>
        <w:t xml:space="preserve">|   6   |   $93,713   |   $9,371   |</w:t>
      </w:r>
    </w:p>
    <w:p>
      <w:pPr>
        <w:spacing w:after="40"/>
      </w:pPr>
      <w:r>
        <w:rPr>
          <w:rFonts w:ascii="Courier New" w:cs="Courier New" w:eastAsia="Courier New" w:hAnsi="Courier New"/>
          <w:color w:val="C9D1D9"/>
          <w:sz w:val="18"/>
          <w:szCs w:val="18"/>
        </w:rPr>
        <w:t xml:space="preserve">|   9   |   $98,398   |   $9,840   |</w:t>
      </w:r>
    </w:p>
    <w:p>
      <w:pPr>
        <w:spacing w:after="40"/>
      </w:pPr>
      <w:r>
        <w:rPr>
          <w:rFonts w:ascii="Courier New" w:cs="Courier New" w:eastAsia="Courier New" w:hAnsi="Courier New"/>
          <w:color w:val="C9D1D9"/>
          <w:sz w:val="18"/>
          <w:szCs w:val="18"/>
        </w:rPr>
        <w:t xml:space="preserve">|   12   |   $103,318   |   $10,332   |</w:t>
      </w:r>
    </w:p>
    <w:p>
      <w:pPr>
        <w:spacing w:after="40"/>
      </w:pPr>
      <w:r>
        <w:rPr>
          <w:rFonts w:ascii="Courier New" w:cs="Courier New" w:eastAsia="Courier New" w:hAnsi="Courier New"/>
          <w:color w:val="C9D1D9"/>
          <w:sz w:val="18"/>
          <w:szCs w:val="18"/>
        </w:rPr>
        <w:t xml:space="preserve">|   15   |   $108,484   |   $10,848   |</w:t>
      </w:r>
    </w:p>
    <w:p>
      <w:pPr>
        <w:spacing w:after="40"/>
      </w:pPr>
      <w:r>
        <w:rPr>
          <w:rFonts w:ascii="Courier New" w:cs="Courier New" w:eastAsia="Courier New" w:hAnsi="Courier New"/>
          <w:color w:val="C9D1D9"/>
          <w:sz w:val="18"/>
          <w:szCs w:val="18"/>
        </w:rPr>
        <w:t xml:space="preserve">|   18   |   $113,908   |   $11,391   |</w:t>
      </w:r>
    </w:p>
    <w:p>
      <w:pPr>
        <w:spacing w:after="40"/>
      </w:pPr>
      <w:r>
        <w:rPr>
          <w:rFonts w:ascii="Courier New" w:cs="Courier New" w:eastAsia="Courier New" w:hAnsi="Courier New"/>
          <w:color w:val="C9D1D9"/>
          <w:sz w:val="18"/>
          <w:szCs w:val="18"/>
        </w:rPr>
        <w:t xml:space="preserve">|   24   |   $125,570   |   $12,557   |</w:t>
      </w:r>
    </w:p>
    <w:p>
      <w:pPr>
        <w:spacing w:after="80"/>
      </w:pPr>
    </w:p>
    <w:p>
      <w:pPr>
        <w:spacing w:after="120" w:before="200"/>
      </w:pPr>
      <w:r>
        <w:rPr>
          <w:rFonts w:ascii="Arial" w:cs="Arial" w:eastAsia="Arial" w:hAnsi="Arial"/>
          <w:b/>
          <w:bCs/>
          <w:color w:val="F59E0B"/>
          <w:sz w:val="24"/>
          <w:szCs w:val="24"/>
        </w:rPr>
        <w:t xml:space="preserve">The Divergence</w:t>
      </w:r>
    </w:p>
    <w:p>
      <w:pPr>
        <w:spacing w:after="80"/>
      </w:pPr>
    </w:p>
    <w:p>
      <w:pPr>
        <w:spacing w:after="40"/>
      </w:pPr>
      <w:r>
        <w:rPr>
          <w:rFonts w:ascii="Courier New" w:cs="Courier New" w:eastAsia="Courier New" w:hAnsi="Courier New"/>
          <w:color w:val="C9D1D9"/>
          <w:sz w:val="18"/>
          <w:szCs w:val="18"/>
        </w:rPr>
        <w:t xml:space="preserve">|   Month   |   Static BTC Value   |   Metcalfe Network Value   |   Multiple   |</w:t>
      </w:r>
    </w:p>
    <w:p>
      <w:pPr>
        <w:spacing w:after="120"/>
      </w:pPr>
      <w:r>
        <w:rPr>
          <w:rFonts w:ascii="Arial" w:cs="Arial" w:eastAsia="Arial" w:hAnsi="Arial"/>
          <w:b w:val="false"/>
          <w:bCs w:val="false"/>
          <w:i w:val="false"/>
          <w:iCs w:val="false"/>
          <w:color w:val="FFFFFF"/>
          <w:sz w:val="22"/>
          <w:szCs w:val="22"/>
        </w:rPr>
        <w:t xml:space="preserve">|---|---|---|---|</w:t>
      </w:r>
    </w:p>
    <w:p>
      <w:pPr>
        <w:spacing w:after="40"/>
      </w:pPr>
      <w:r>
        <w:rPr>
          <w:rFonts w:ascii="Courier New" w:cs="Courier New" w:eastAsia="Courier New" w:hAnsi="Courier New"/>
          <w:color w:val="C9D1D9"/>
          <w:sz w:val="18"/>
          <w:szCs w:val="18"/>
        </w:rPr>
        <w:t xml:space="preserve">|   0   |   $8,500   |   $1   |   0.0x   |</w:t>
      </w:r>
    </w:p>
    <w:p>
      <w:pPr>
        <w:spacing w:after="40"/>
      </w:pPr>
      <w:r>
        <w:rPr>
          <w:rFonts w:ascii="Courier New" w:cs="Courier New" w:eastAsia="Courier New" w:hAnsi="Courier New"/>
          <w:color w:val="C9D1D9"/>
          <w:sz w:val="18"/>
          <w:szCs w:val="18"/>
        </w:rPr>
        <w:t xml:space="preserve">|   3   |   $8,925   |   $45   |   0.005x   |</w:t>
      </w:r>
    </w:p>
    <w:p>
      <w:pPr>
        <w:spacing w:after="40"/>
      </w:pPr>
      <w:r>
        <w:rPr>
          <w:rFonts w:ascii="Courier New" w:cs="Courier New" w:eastAsia="Courier New" w:hAnsi="Courier New"/>
          <w:color w:val="C9D1D9"/>
          <w:sz w:val="18"/>
          <w:szCs w:val="18"/>
        </w:rPr>
        <w:t xml:space="preserve">|   6   |   $9,371   |   $1,351   |   0.14x   |</w:t>
      </w:r>
    </w:p>
    <w:p>
      <w:pPr>
        <w:spacing w:after="40"/>
      </w:pPr>
      <w:r>
        <w:rPr>
          <w:rFonts w:ascii="Courier New" w:cs="Courier New" w:eastAsia="Courier New" w:hAnsi="Courier New"/>
          <w:color w:val="C9D1D9"/>
          <w:sz w:val="18"/>
          <w:szCs w:val="18"/>
        </w:rPr>
        <w:t xml:space="preserve">|   9   |   $9,840   |   $10,009   |   1.02x   |</w:t>
      </w:r>
    </w:p>
    <w:p>
      <w:pPr>
        <w:spacing w:after="40"/>
      </w:pPr>
      <w:r>
        <w:rPr>
          <w:rFonts w:ascii="Courier New" w:cs="Courier New" w:eastAsia="Courier New" w:hAnsi="Courier New"/>
          <w:color w:val="C9D1D9"/>
          <w:sz w:val="18"/>
          <w:szCs w:val="18"/>
        </w:rPr>
        <w:t xml:space="preserve">|   12   |   $10,332   |   $50,076   |   4.8x   |</w:t>
      </w:r>
    </w:p>
    <w:p>
      <w:pPr>
        <w:spacing w:after="40"/>
      </w:pPr>
      <w:r>
        <w:rPr>
          <w:rFonts w:ascii="Courier New" w:cs="Courier New" w:eastAsia="Courier New" w:hAnsi="Courier New"/>
          <w:color w:val="C9D1D9"/>
          <w:sz w:val="18"/>
          <w:szCs w:val="18"/>
        </w:rPr>
        <w:t xml:space="preserve">|   15   |   $10,848   |   $229,025   |   21.1x   |</w:t>
      </w:r>
    </w:p>
    <w:p>
      <w:pPr>
        <w:spacing w:after="40"/>
      </w:pPr>
      <w:r>
        <w:rPr>
          <w:rFonts w:ascii="Courier New" w:cs="Courier New" w:eastAsia="Courier New" w:hAnsi="Courier New"/>
          <w:color w:val="C9D1D9"/>
          <w:sz w:val="18"/>
          <w:szCs w:val="18"/>
        </w:rPr>
        <w:t xml:space="preserve">|   18   |   $11,391   |   $785,409   |   68.9x   |</w:t>
      </w:r>
    </w:p>
    <w:p>
      <w:pPr>
        <w:spacing w:after="40"/>
      </w:pPr>
      <w:r>
        <w:rPr>
          <w:rFonts w:ascii="Courier New" w:cs="Courier New" w:eastAsia="Courier New" w:hAnsi="Courier New"/>
          <w:color w:val="C9D1D9"/>
          <w:sz w:val="18"/>
          <w:szCs w:val="18"/>
        </w:rPr>
        <w:t xml:space="preserve">|   24   |   $12,557   |   $944,539   |   75.2x   |</w:t>
      </w:r>
    </w:p>
    <w:p>
      <w:pPr>
        <w:spacing w:after="80"/>
      </w:pPr>
    </w:p>
    <w:p>
      <w:pPr>
        <w:spacing w:after="120"/>
      </w:pPr>
      <w:r>
        <w:rPr>
          <w:rFonts w:ascii="Arial" w:cs="Arial" w:eastAsia="Arial" w:hAnsi="Arial"/>
          <w:b w:val="false"/>
          <w:bCs w:val="false"/>
          <w:i w:val="false"/>
          <w:iCs w:val="false"/>
          <w:color w:val="FFFFFF"/>
          <w:sz w:val="22"/>
          <w:szCs w:val="22"/>
        </w:rPr>
        <w:t xml:space="preserve">The crossover occurs at approximately month 9 (50 merchants). Before that, the static BTC valuation exceeds the network valuation. After that, the network valuation accelerates quadratically while BTC appreciation remains roughly linear.</w:t>
      </w:r>
    </w:p>
    <w:p>
      <w:pPr>
        <w:spacing w:after="80"/>
      </w:pPr>
    </w:p>
    <w:p>
      <w:pPr>
        <w:spacing w:after="120"/>
      </w:pPr>
      <w:r>
        <w:rPr>
          <w:rFonts w:ascii="Arial" w:cs="Arial" w:eastAsia="Arial" w:hAnsi="Arial"/>
          <w:b w:val="false"/>
          <w:bCs w:val="false"/>
          <w:i w:val="false"/>
          <w:iCs w:val="false"/>
          <w:color w:val="FFFFFF"/>
          <w:sz w:val="22"/>
          <w:szCs w:val="22"/>
        </w:rPr>
        <w:t xml:space="preserve">By month 18 (350 merchants), the network valuation is nearly 69 times the static BTC value. This is the Metcalfe effect: the Genesis Pool's 10 million satoshis are no longer just "holding" BTC — they are the infrastructure substrate of a network whose value grows with the square of its participants.</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4. The Figure</w:t>
      </w:r>
    </w:p>
    <w:p>
      <w:pPr>
        <w:spacing w:after="80"/>
      </w:pPr>
    </w:p>
    <w:p>
      <w:pPr>
        <w:shd w:fill="0D1117" w:val="clear"/>
        <w:spacing w:after="80"/>
        <w:ind w:left="360" w:right="360"/>
      </w:pPr>
      <w:r>
        <w:rPr>
          <w:rFonts w:ascii="Courier New" w:cs="Courier New" w:eastAsia="Courier New" w:hAnsi="Courier New"/>
          <w:color w:val="C9D1D9"/>
          <w:sz w:val="18"/>
          <w:szCs w:val="18"/>
        </w:rPr>
        <w:t xml:space="preserve">  Network Value ($)
  │
  │                                              ╱ Metcalfe (V ∝ n²)
  │                                            ╱
  │                                          ╱
  $800K ─ ─ ─ ─ ─ ─ ─ ─ ─ ─ ─ ─ ─ ─ ─ ─╱─ ─ ─
  │                                      ╱
  │                                    ╱
  │                                  ╱
  │                                ╱
  │                              ╱
  $200K ─ ─ ─ ─ ─ ─ ─ ─ ─ ─ ╱─ ─ ─ ─ ─ ─ ─ ─
  │                        ╱
  │                      ╱
  $50K ─ ─ ─ ─ ─ ─ ─ ╱─ ─ ─ ─ ─ ─ ─ ─ ─ ─ ─
  │                 ╱
  │              ╱     ─────── Static BTC ($8.5K → $12.6K)
  │           ╱   ─────────────────────────────────
  │        ╱  ──────
  │     ╱───
  │  ╱──
  │╱─
  ├────────┬────────┬────────┬────────┬────────┤
  0        6       12       18       24     Months
         (20)    (100)    (350)   (350+)  (Merchants)</w:t>
      </w:r>
    </w:p>
    <w:p>
      <w:pPr>
        <w:spacing w:after="80"/>
      </w:pPr>
    </w:p>
    <w:p>
      <w:pPr>
        <w:spacing w:after="120"/>
      </w:pPr>
      <w:r>
        <w:rPr>
          <w:rFonts w:ascii="Arial" w:cs="Arial" w:eastAsia="Arial" w:hAnsi="Arial"/>
          <w:b w:val="false"/>
          <w:bCs w:val="false"/>
          <w:i w:val="false"/>
          <w:iCs w:val="false"/>
          <w:color w:val="FFFFFF"/>
          <w:sz w:val="22"/>
          <w:szCs w:val="22"/>
        </w:rPr>
        <w:t xml:space="preserve">Caption: Genesis Pool valuation under two models. The static BTC model (dashed line) grows linearly with Bitcoin price appreciation (~5%/quarter). The Metcalfe network model (solid curve) grows quadratically with merchant adoption. The crossover occurs at month 9 (~50 merchants). By month 18 (350 merchants), the network valuation exceeds the static BTC valuation by 69x. The Genesis Pool is not a BTC holding. It is the anchor of a network whose value compounds with every participant.</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5. Integration into Manifesto IV.1</w:t>
      </w:r>
    </w:p>
    <w:p>
      <w:pPr>
        <w:spacing w:after="80"/>
      </w:pPr>
    </w:p>
    <w:p>
      <w:pPr>
        <w:spacing w:after="120" w:before="200"/>
      </w:pPr>
      <w:r>
        <w:rPr>
          <w:rFonts w:ascii="Arial" w:cs="Arial" w:eastAsia="Arial" w:hAnsi="Arial"/>
          <w:b/>
          <w:bCs/>
          <w:color w:val="F59E0B"/>
          <w:sz w:val="24"/>
          <w:szCs w:val="24"/>
        </w:rPr>
        <w:t xml:space="preserve">Current Text (to be replaced):</w:t>
      </w:r>
    </w:p>
    <w:p>
      <w:pPr>
        <w:spacing w:after="80"/>
      </w:pPr>
    </w:p>
    <w:p>
      <w:pPr>
        <w:pBdr>
          <w:left w:val="single" w:color="8B949E" w:sz="4" w:space="8"/>
        </w:pBdr>
        <w:spacing w:after="120"/>
        <w:ind w:left="360"/>
      </w:pPr>
      <w:r>
        <w:rPr>
          <w:rFonts w:ascii="Arial" w:cs="Arial" w:eastAsia="Arial" w:hAnsi="Arial"/>
          <w:i/>
          <w:iCs/>
          <w:color w:val="8B949E"/>
          <w:sz w:val="22"/>
          <w:szCs w:val="22"/>
        </w:rPr>
        <w:t xml:space="preserve">"GrowDirect's financial foundation is... [references to static BTC valuation at $4,300/BTC]"</w:t>
      </w:r>
    </w:p>
    <w:p>
      <w:pPr>
        <w:spacing w:after="80"/>
      </w:pPr>
    </w:p>
    <w:p>
      <w:pPr>
        <w:spacing w:after="120" w:before="200"/>
      </w:pPr>
      <w:r>
        <w:rPr>
          <w:rFonts w:ascii="Arial" w:cs="Arial" w:eastAsia="Arial" w:hAnsi="Arial"/>
          <w:b/>
          <w:bCs/>
          <w:color w:val="F59E0B"/>
          <w:sz w:val="24"/>
          <w:szCs w:val="24"/>
        </w:rPr>
        <w:t xml:space="preserve">Replacement Language:</w:t>
      </w:r>
    </w:p>
    <w:p>
      <w:pPr>
        <w:spacing w:after="80"/>
      </w:pPr>
    </w:p>
    <w:p>
      <w:pPr>
        <w:pBdr>
          <w:left w:val="single" w:color="8B949E" w:sz="4" w:space="8"/>
        </w:pBdr>
        <w:spacing w:after="120"/>
        <w:ind w:left="360"/>
      </w:pPr>
      <w:r>
        <w:rPr>
          <w:rFonts w:ascii="Arial" w:cs="Arial" w:eastAsia="Arial" w:hAnsi="Arial"/>
          <w:i/>
          <w:iCs/>
          <w:color w:val="8B949E"/>
          <w:sz w:val="22"/>
          <w:szCs w:val="22"/>
        </w:rPr>
        <w:t xml:space="preserve">The Genesis Pool — 0.1 BTC (10,000,000 satoshis) from the original F2Pool mining reward — is not valued as a BTC holding. It is valued as a network asset. Under Metcalfe's Law (V ∝ n²), the pool's value grows quadratically with the number of merchants, inscriptions, validation requests, and namespace registrations it anchors.</w:t>
      </w:r>
    </w:p>
    <w:p>
      <w:pPr>
        <w:spacing w:after="120"/>
      </w:pPr>
      <w:r>
        <w:rPr>
          <w:rFonts w:ascii="Arial" w:cs="Arial" w:eastAsia="Arial" w:hAnsi="Arial"/>
          <w:b w:val="false"/>
          <w:bCs w:val="false"/>
          <w:i w:val="false"/>
          <w:iCs w:val="false"/>
          <w:color w:val="FFFFFF"/>
          <w:sz w:val="22"/>
          <w:szCs w:val="22"/>
        </w:rPr>
        <w:t xml:space="preserve">&gt;</w:t>
      </w:r>
    </w:p>
    <w:p>
      <w:pPr>
        <w:pBdr>
          <w:left w:val="single" w:color="8B949E" w:sz="4" w:space="8"/>
        </w:pBdr>
        <w:spacing w:after="120"/>
        <w:ind w:left="360"/>
      </w:pPr>
      <w:r>
        <w:rPr>
          <w:rFonts w:ascii="Arial" w:cs="Arial" w:eastAsia="Arial" w:hAnsi="Arial"/>
          <w:i/>
          <w:iCs/>
          <w:color w:val="8B949E"/>
          <w:sz w:val="22"/>
          <w:szCs w:val="22"/>
        </w:rPr>
        <w:t xml:space="preserve">At launch (1 merchant), the pool's network value is nominal — the BTC itself is worth more than the network it supports. At 50 merchants (month 9), the curves cross: the network the pool anchors exceeds the BTC it contains. At 350 merchants (month 18), the network valuation is 69 times the static BTC value.</w:t>
      </w:r>
    </w:p>
    <w:p>
      <w:pPr>
        <w:spacing w:after="120"/>
      </w:pPr>
      <w:r>
        <w:rPr>
          <w:rFonts w:ascii="Arial" w:cs="Arial" w:eastAsia="Arial" w:hAnsi="Arial"/>
          <w:b w:val="false"/>
          <w:bCs w:val="false"/>
          <w:i w:val="false"/>
          <w:iCs w:val="false"/>
          <w:color w:val="FFFFFF"/>
          <w:sz w:val="22"/>
          <w:szCs w:val="22"/>
        </w:rPr>
        <w:t xml:space="preserve">&gt;</w:t>
      </w:r>
    </w:p>
    <w:p>
      <w:pPr>
        <w:pBdr>
          <w:left w:val="single" w:color="8B949E" w:sz="4" w:space="8"/>
        </w:pBdr>
        <w:spacing w:after="120"/>
        <w:ind w:left="360"/>
      </w:pPr>
      <w:r>
        <w:rPr>
          <w:rFonts w:ascii="Arial" w:cs="Arial" w:eastAsia="Arial" w:hAnsi="Arial"/>
          <w:i/>
          <w:iCs/>
          <w:color w:val="8B949E"/>
          <w:sz w:val="22"/>
          <w:szCs w:val="22"/>
        </w:rPr>
        <w:t xml:space="preserve">This is the compounding engine. Every merchant added creates connections to every existing merchant. Every inscription batch increases the historical validation surface. Every .jeffe registration deepens the namespace. The pool's 10 million satoshis are the substrate. The network is the asset.</w:t>
      </w:r>
    </w:p>
    <w:p>
      <w:pPr>
        <w:spacing w:after="120"/>
      </w:pPr>
      <w:r>
        <w:rPr>
          <w:rFonts w:ascii="Arial" w:cs="Arial" w:eastAsia="Arial" w:hAnsi="Arial"/>
          <w:b w:val="false"/>
          <w:bCs w:val="false"/>
          <w:i w:val="false"/>
          <w:iCs w:val="false"/>
          <w:color w:val="FFFFFF"/>
          <w:sz w:val="22"/>
          <w:szCs w:val="22"/>
        </w:rPr>
        <w:t xml:space="preserve">&gt;</w:t>
      </w:r>
    </w:p>
    <w:p>
      <w:pPr>
        <w:pBdr>
          <w:left w:val="single" w:color="8B949E" w:sz="4" w:space="8"/>
        </w:pBdr>
        <w:spacing w:after="120"/>
        <w:ind w:left="360"/>
      </w:pPr>
      <w:r>
        <w:rPr>
          <w:rFonts w:ascii="Arial" w:cs="Arial" w:eastAsia="Arial" w:hAnsi="Arial"/>
          <w:i/>
          <w:iCs/>
          <w:color w:val="8B949E"/>
          <w:sz w:val="22"/>
          <w:szCs w:val="22"/>
        </w:rPr>
        <w:t xml:space="preserve">The Genesis Pool doesn't hold BTC value — it compounds as a network asset.</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6. Investor-Ready Talking Points</w:t>
      </w:r>
    </w:p>
    <w:p>
      <w:pPr>
        <w:spacing w:after="80"/>
      </w:pPr>
    </w:p>
    <w:p>
      <w:pPr>
        <w:spacing w:after="80"/>
        <w:ind w:left="360"/>
      </w:pPr>
      <w:r>
        <w:rPr>
          <w:rFonts w:ascii="Arial" w:cs="Arial" w:eastAsia="Arial" w:hAnsi="Arial"/>
          <w:color w:val="FFFFFF"/>
          <w:sz w:val="22"/>
          <w:szCs w:val="22"/>
        </w:rPr>
        <w:t xml:space="preserve">1. "Don't think of the Genesis Pool as Bitcoin. Think of it as the first 10 million addresses in a namespace that every receipt on earth will resolve through." (VeriSign analogy: the pool is the root zone, not the server hardware.)</w:t>
      </w:r>
    </w:p>
    <w:p>
      <w:pPr>
        <w:spacing w:after="80"/>
      </w:pPr>
    </w:p>
    <w:p>
      <w:pPr>
        <w:spacing w:after="80"/>
        <w:ind w:left="360"/>
      </w:pPr>
      <w:r>
        <w:rPr>
          <w:rFonts w:ascii="Arial" w:cs="Arial" w:eastAsia="Arial" w:hAnsi="Arial"/>
          <w:color w:val="FFFFFF"/>
          <w:sz w:val="22"/>
          <w:szCs w:val="22"/>
        </w:rPr>
        <w:t xml:space="preserve">2. "Static BTC valuation says the pool is worth $8,500. Network valuation at 350 merchants says it's worth $785,000. Same satoshis. Different frame. One measures the metal. The other measures the network."</w:t>
      </w:r>
    </w:p>
    <w:p>
      <w:pPr>
        <w:spacing w:after="80"/>
      </w:pPr>
    </w:p>
    <w:p>
      <w:pPr>
        <w:spacing w:after="80"/>
        <w:ind w:left="360"/>
      </w:pPr>
      <w:r>
        <w:rPr>
          <w:rFonts w:ascii="Arial" w:cs="Arial" w:eastAsia="Arial" w:hAnsi="Arial"/>
          <w:color w:val="FFFFFF"/>
          <w:sz w:val="22"/>
          <w:szCs w:val="22"/>
        </w:rPr>
        <w:t xml:space="preserve">3. "The crossover is at 50 merchants. After that, the network effect dominates. This is why we're not raising to buy Bitcoin. We're raising to add merchants to the network."</w:t>
      </w:r>
    </w:p>
    <w:p>
      <w:pPr>
        <w:spacing w:after="80"/>
      </w:pPr>
    </w:p>
    <w:p>
      <w:pPr>
        <w:spacing w:after="80"/>
        <w:ind w:left="360"/>
      </w:pPr>
      <w:r>
        <w:rPr>
          <w:rFonts w:ascii="Arial" w:cs="Arial" w:eastAsia="Arial" w:hAnsi="Arial"/>
          <w:color w:val="FFFFFF"/>
          <w:sz w:val="22"/>
          <w:szCs w:val="22"/>
        </w:rPr>
        <w:t xml:space="preserve">4. "Every dollar of seed funding that acquires a merchant amplifies the Genesis Pool's network value quadratically. A $500K raise that acquires 100 merchants produces a 5x network multiplier on the pool — before counting subscription revenue."</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7. Sensitivity Analysis</w:t>
      </w:r>
    </w:p>
    <w:p>
      <w:pPr>
        <w:spacing w:after="80"/>
      </w:pPr>
    </w:p>
    <w:p>
      <w:pPr>
        <w:spacing w:after="40"/>
      </w:pPr>
      <w:r>
        <w:rPr>
          <w:rFonts w:ascii="Courier New" w:cs="Courier New" w:eastAsia="Courier New" w:hAnsi="Courier New"/>
          <w:color w:val="C9D1D9"/>
          <w:sz w:val="18"/>
          <w:szCs w:val="18"/>
        </w:rPr>
        <w:t xml:space="preserve">|   Parameter   |   Base Case   |   Optimistic   |   Pessimistic   |</w:t>
      </w:r>
    </w:p>
    <w:p>
      <w:pPr>
        <w:spacing w:after="120"/>
      </w:pPr>
      <w:r>
        <w:rPr>
          <w:rFonts w:ascii="Arial" w:cs="Arial" w:eastAsia="Arial" w:hAnsi="Arial"/>
          <w:b w:val="false"/>
          <w:bCs w:val="false"/>
          <w:i w:val="false"/>
          <w:iCs w:val="false"/>
          <w:color w:val="FFFFFF"/>
          <w:sz w:val="22"/>
          <w:szCs w:val="22"/>
        </w:rPr>
        <w:t xml:space="preserve">|---|---|---|---|</w:t>
      </w:r>
    </w:p>
    <w:p>
      <w:pPr>
        <w:spacing w:after="40"/>
      </w:pPr>
      <w:r>
        <w:rPr>
          <w:rFonts w:ascii="Courier New" w:cs="Courier New" w:eastAsia="Courier New" w:hAnsi="Courier New"/>
          <w:color w:val="C9D1D9"/>
          <w:sz w:val="18"/>
          <w:szCs w:val="18"/>
        </w:rPr>
        <w:t xml:space="preserve">|   k (value per connection)   |   $0.667   |   $2.00 (higher validation demand)   |   $0.20 (lower demand)   |</w:t>
      </w:r>
    </w:p>
    <w:p>
      <w:pPr>
        <w:spacing w:after="40"/>
      </w:pPr>
      <w:r>
        <w:rPr>
          <w:rFonts w:ascii="Courier New" w:cs="Courier New" w:eastAsia="Courier New" w:hAnsi="Courier New"/>
          <w:color w:val="C9D1D9"/>
          <w:sz w:val="18"/>
          <w:szCs w:val="18"/>
        </w:rPr>
        <w:t xml:space="preserve">|   Merchant growth rate   |   Per VII.5 milestones   |   2x faster   |   0.5x slower   |</w:t>
      </w:r>
    </w:p>
    <w:p>
      <w:pPr>
        <w:spacing w:after="40"/>
      </w:pPr>
      <w:r>
        <w:rPr>
          <w:rFonts w:ascii="Courier New" w:cs="Courier New" w:eastAsia="Courier New" w:hAnsi="Courier New"/>
          <w:color w:val="C9D1D9"/>
          <w:sz w:val="18"/>
          <w:szCs w:val="18"/>
        </w:rPr>
        <w:t xml:space="preserve">|   Engagement multiplier   |   1 + log₂(months)   |   1 + log₂(months) × 1.5   |   1 + log₂(months) × 0.5   |</w:t>
      </w:r>
    </w:p>
    <w:p>
      <w:pPr>
        <w:spacing w:after="80"/>
      </w:pPr>
    </w:p>
    <w:p>
      <w:pPr>
        <w:spacing w:after="40"/>
      </w:pPr>
      <w:r>
        <w:rPr>
          <w:rFonts w:ascii="Courier New" w:cs="Courier New" w:eastAsia="Courier New" w:hAnsi="Courier New"/>
          <w:color w:val="C9D1D9"/>
          <w:sz w:val="18"/>
          <w:szCs w:val="18"/>
        </w:rPr>
        <w:t xml:space="preserve">|   Scenario   |   Month 18 Network Value   |   Multiple over Static BTC   |</w:t>
      </w:r>
    </w:p>
    <w:p>
      <w:pPr>
        <w:spacing w:after="120"/>
      </w:pPr>
      <w:r>
        <w:rPr>
          <w:rFonts w:ascii="Arial" w:cs="Arial" w:eastAsia="Arial" w:hAnsi="Arial"/>
          <w:b w:val="false"/>
          <w:bCs w:val="false"/>
          <w:i w:val="false"/>
          <w:iCs w:val="false"/>
          <w:color w:val="FFFFFF"/>
          <w:sz w:val="22"/>
          <w:szCs w:val="22"/>
        </w:rPr>
        <w:t xml:space="preserve">|---|---|---|</w:t>
      </w:r>
    </w:p>
    <w:p>
      <w:pPr>
        <w:spacing w:after="40"/>
      </w:pPr>
      <w:r>
        <w:rPr>
          <w:rFonts w:ascii="Courier New" w:cs="Courier New" w:eastAsia="Courier New" w:hAnsi="Courier New"/>
          <w:color w:val="C9D1D9"/>
          <w:sz w:val="18"/>
          <w:szCs w:val="18"/>
        </w:rPr>
        <w:t xml:space="preserve">|   Base case   |   $785,409   |   69x   |</w:t>
      </w:r>
    </w:p>
    <w:p>
      <w:pPr>
        <w:spacing w:after="40"/>
      </w:pPr>
      <w:r>
        <w:rPr>
          <w:rFonts w:ascii="Courier New" w:cs="Courier New" w:eastAsia="Courier New" w:hAnsi="Courier New"/>
          <w:color w:val="C9D1D9"/>
          <w:sz w:val="18"/>
          <w:szCs w:val="18"/>
        </w:rPr>
        <w:t xml:space="preserve">|   Optimistic   |   $2,356,227   |   207x   |</w:t>
      </w:r>
    </w:p>
    <w:p>
      <w:pPr>
        <w:spacing w:after="40"/>
      </w:pPr>
      <w:r>
        <w:rPr>
          <w:rFonts w:ascii="Courier New" w:cs="Courier New" w:eastAsia="Courier New" w:hAnsi="Courier New"/>
          <w:color w:val="C9D1D9"/>
          <w:sz w:val="18"/>
          <w:szCs w:val="18"/>
        </w:rPr>
        <w:t xml:space="preserve">|   Pessimistic   |   $78,541   |   6.9x   |</w:t>
      </w:r>
    </w:p>
    <w:p>
      <w:pPr>
        <w:spacing w:after="80"/>
      </w:pPr>
    </w:p>
    <w:p>
      <w:pPr>
        <w:spacing w:after="120"/>
      </w:pPr>
      <w:r>
        <w:rPr>
          <w:rFonts w:ascii="Arial" w:cs="Arial" w:eastAsia="Arial" w:hAnsi="Arial"/>
          <w:b w:val="false"/>
          <w:bCs w:val="false"/>
          <w:i w:val="false"/>
          <w:iCs w:val="false"/>
          <w:color w:val="FFFFFF"/>
          <w:sz w:val="22"/>
          <w:szCs w:val="22"/>
        </w:rPr>
        <w:t xml:space="preserve">Even in the pessimistic case, the network valuation exceeds the static BTC valuation by month 15. The Metcalfe model holds across all reasonable assumptions. The question is not whether network value dominates — it is when.</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8. Caveats</w:t>
      </w:r>
    </w:p>
    <w:p>
      <w:pPr>
        <w:spacing w:after="80"/>
      </w:pPr>
    </w:p>
    <w:p>
      <w:pPr>
        <w:spacing w:after="80"/>
        <w:ind w:left="360"/>
      </w:pPr>
      <w:r>
        <w:rPr>
          <w:rFonts w:ascii="Arial" w:cs="Arial" w:eastAsia="Arial" w:hAnsi="Arial"/>
          <w:color w:val="FFFFFF"/>
          <w:sz w:val="22"/>
          <w:szCs w:val="22"/>
        </w:rPr>
        <w:t xml:space="preserve">1. Metcalfe's Law is an approximation. Empirical research (Zhang et al., 2015) suggests that real networks often follow V ∝ n × log(n) rather than pure n². PhD's model uses n² for simplicity and investor clarity. Under n × log(n), the month-18 valuation would be approximately $180,000 instead of $785,000 — still 16x the static BTC value.</w:t>
      </w:r>
    </w:p>
    <w:p>
      <w:pPr>
        <w:spacing w:after="80"/>
      </w:pPr>
    </w:p>
    <w:p>
      <w:pPr>
        <w:spacing w:after="80"/>
        <w:ind w:left="360"/>
      </w:pPr>
      <w:r>
        <w:rPr>
          <w:rFonts w:ascii="Arial" w:cs="Arial" w:eastAsia="Arial" w:hAnsi="Arial"/>
          <w:color w:val="FFFFFF"/>
          <w:sz w:val="22"/>
          <w:szCs w:val="22"/>
        </w:rPr>
        <w:t xml:space="preserve">2. The proportionality constant k is estimated, not measured. It will be calibrated against actual L402 validation revenue once the protocol is live. The current estimate ($0.667/connection) is conservative.</w:t>
      </w:r>
    </w:p>
    <w:p>
      <w:pPr>
        <w:spacing w:after="80"/>
      </w:pPr>
    </w:p>
    <w:p>
      <w:pPr>
        <w:spacing w:after="80"/>
        <w:ind w:left="360"/>
      </w:pPr>
      <w:r>
        <w:rPr>
          <w:rFonts w:ascii="Arial" w:cs="Arial" w:eastAsia="Arial" w:hAnsi="Arial"/>
          <w:color w:val="FFFFFF"/>
          <w:sz w:val="22"/>
          <w:szCs w:val="22"/>
        </w:rPr>
        <w:t xml:space="preserve">3. Network value ≠ liquidation value. The Genesis Pool cannot be "sold" at its network valuation. The network value represents the economic benefit the pool creates for the protocol — it is a measure of strategic importance, not a balance sheet line item.</w:t>
      </w:r>
    </w:p>
    <w:p>
      <w:pPr>
        <w:spacing w:after="80"/>
      </w:pPr>
    </w:p>
    <w:p>
      <w:pPr>
        <w:spacing w:after="80"/>
        <w:ind w:left="360"/>
      </w:pPr>
      <w:r>
        <w:rPr>
          <w:rFonts w:ascii="Arial" w:cs="Arial" w:eastAsia="Arial" w:hAnsi="Arial"/>
          <w:color w:val="FFFFFF"/>
          <w:sz w:val="22"/>
          <w:szCs w:val="22"/>
        </w:rPr>
        <w:t xml:space="preserve">4. The model assumes merchant retention. Churned merchants reduce n but their historical inscriptions remain, providing ongoing validation surface. Metcalfe's Law technically applies to active participants, so the model slightly overstates value if churn is high. However, the permanent inscription base partially compensates.</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Routing</w:t>
      </w:r>
    </w:p>
    <w:p>
      <w:pPr>
        <w:spacing w:after="80"/>
      </w:pP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Syd: Review for IP disclosure. Confirm Metcalfe framing is safe for investor materials.</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Art: Genesis Pool network value chart for investor deck v1.1. The divergence curve (Figure above) is the hero visual.</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Jess: Replace static "$430,000" language in all investor materials with network valuation framing.</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Task 3 (RaaS): The RaaS API (any POS → verify → pay sat → get receipt) is a direct Metcalfe amplifier — every new POS integration adds n to the network.</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Task 4 (Position Paper): Incorporate Metcalfe framing into Section 5 (Economic Model).</w:t>
      </w:r>
    </w:p>
    <w:p>
      <w:pPr>
        <w:spacing w:after="80"/>
      </w:pPr>
    </w:p>
    <w:p>
      <w:pPr>
        <w:pBdr>
          <w:bottom w:val="single" w:color="30363D" w:sz="2" w:space="8"/>
        </w:pBdr>
        <w:spacing w:after="200" w:before="200"/>
      </w:pPr>
    </w:p>
    <w:p>
      <w:pPr>
        <w:spacing w:after="80"/>
      </w:pPr>
    </w:p>
    <w:p>
      <w:pPr>
        <w:spacing w:after="120"/>
      </w:pPr>
      <w:r>
        <w:rPr>
          <w:rFonts w:ascii="Arial" w:cs="Arial" w:eastAsia="Arial" w:hAnsi="Arial"/>
          <w:b w:val="false"/>
          <w:bCs w:val="false"/>
          <w:i w:val="false"/>
          <w:iCs w:val="false"/>
          <w:color w:val="FFFFFF"/>
          <w:sz w:val="22"/>
          <w:szCs w:val="22"/>
        </w:rPr>
        <w:t xml:space="preserve">PhD | Research Framework | March 1, 2026</w:t>
      </w:r>
    </w:p>
    <w:p>
      <w:pPr>
        <w:spacing w:after="120"/>
      </w:pPr>
      <w:r>
        <w:rPr>
          <w:rFonts w:ascii="Arial" w:cs="Arial" w:eastAsia="Arial" w:hAnsi="Arial"/>
          <w:b w:val="false"/>
          <w:bCs w:val="false"/>
          <w:i w:val="false"/>
          <w:iCs w:val="false"/>
          <w:color w:val="FFFFFF"/>
          <w:sz w:val="22"/>
          <w:szCs w:val="22"/>
        </w:rPr>
        <w:t xml:space="preserve">B-077 Task 2 — Metcalfe's Law Genesis Pool Model</w:t>
      </w:r>
    </w:p>
    <w:p>
      <w:pPr>
        <w:spacing w:after="80"/>
      </w:pPr>
    </w:p>
    <w:p>
      <w:r>
        <w:br w:type="page"/>
      </w:r>
    </w:p>
    <w:p>
      <w:pPr>
        <w:sectPr>
          <w:pgSz w:w="12240" w:h="15840" w:orient="portrait"/>
          <w:pgMar w:top="1440" w:right="1440" w:bottom="1440" w:left="1440" w:header="708" w:footer="708" w:gutter="0"/>
          <w:pgNumType/>
          <w:docGrid w:linePitch="360"/>
        </w:sectPr>
      </w:pPr>
    </w:p>
    <w:p>
      <w:pPr>
        <w:spacing w:after="200" w:before="360"/>
      </w:pPr>
      <w:r>
        <w:rPr>
          <w:rFonts w:ascii="Arial" w:cs="Arial" w:eastAsia="Arial" w:hAnsi="Arial"/>
          <w:b/>
          <w:bCs/>
          <w:color w:val="F59E0B"/>
          <w:sz w:val="36"/>
          <w:szCs w:val="36"/>
        </w:rPr>
        <w:t xml:space="preserve">Task 3: RaaS Manifesto Section IV.3.1</w:t>
      </w:r>
    </w:p>
    <w:p>
      <w:pPr>
        <w:spacing w:after="120"/>
      </w:pPr>
      <w:r>
        <w:rPr>
          <w:rFonts w:ascii="Arial" w:cs="Arial" w:eastAsia="Arial" w:hAnsi="Arial"/>
          <w:b w:val="false"/>
          <w:bCs w:val="false"/>
          <w:i w:val="false"/>
          <w:iCs w:val="false"/>
          <w:color w:val="8B949E"/>
          <w:sz w:val="22"/>
          <w:szCs w:val="22"/>
        </w:rPr>
        <w:t xml:space="preserve">B-077 Task 3  |  PhD  |  March 1, 2026  |  Manifesto: IV.3.1 (insert after IV.3)</w:t>
      </w:r>
    </w:p>
    <w:p>
      <w:pPr>
        <w:pBdr>
          <w:bottom w:val="single" w:color="30363D" w:sz="2" w:space="8"/>
        </w:pBdr>
        <w:spacing w:after="200" w:before="200"/>
      </w:pPr>
    </w:p>
    <w:p>
      <w:pPr>
        <w:spacing w:after="80"/>
      </w:pP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Insertion Instructions</w:t>
      </w:r>
    </w:p>
    <w:p>
      <w:pPr>
        <w:spacing w:after="80"/>
      </w:pPr>
    </w:p>
    <w:p>
      <w:pPr>
        <w:spacing w:after="120"/>
      </w:pPr>
      <w:r>
        <w:rPr>
          <w:rFonts w:ascii="Arial" w:cs="Arial" w:eastAsia="Arial" w:hAnsi="Arial"/>
          <w:b w:val="false"/>
          <w:bCs w:val="false"/>
          <w:i w:val="false"/>
          <w:iCs w:val="false"/>
          <w:color w:val="FFFFFF"/>
          <w:sz w:val="22"/>
          <w:szCs w:val="22"/>
        </w:rPr>
        <w:t xml:space="preserve">This section is inserted between the current IV.3 (Layer 3: The Validation Gate) and IV.4 (Layer 4: The Scaling Model). It does NOT create a new Layer. It expands the Validation Gate to name the business model that emerges from the existing architecture.</w:t>
      </w:r>
    </w:p>
    <w:p>
      <w:pPr>
        <w:spacing w:after="80"/>
      </w:pPr>
    </w:p>
    <w:p>
      <w:pPr>
        <w:spacing w:after="120"/>
      </w:pPr>
      <w:r>
        <w:rPr>
          <w:rFonts w:ascii="Arial" w:cs="Arial" w:eastAsia="Arial" w:hAnsi="Arial"/>
          <w:b w:val="false"/>
          <w:bCs w:val="false"/>
          <w:i w:val="false"/>
          <w:iCs w:val="false"/>
          <w:color w:val="FFFFFF"/>
          <w:sz w:val="22"/>
          <w:szCs w:val="22"/>
        </w:rPr>
        <w:t xml:space="preserve">Before: IV.3 ends with "The subscription is the door. The L402 gate is the house."</w:t>
      </w:r>
    </w:p>
    <w:p>
      <w:pPr>
        <w:spacing w:after="120"/>
      </w:pPr>
      <w:r>
        <w:rPr>
          <w:rFonts w:ascii="Arial" w:cs="Arial" w:eastAsia="Arial" w:hAnsi="Arial"/>
          <w:b w:val="false"/>
          <w:bCs w:val="false"/>
          <w:i w:val="false"/>
          <w:iCs w:val="false"/>
          <w:color w:val="FFFFFF"/>
          <w:sz w:val="22"/>
          <w:szCs w:val="22"/>
        </w:rPr>
        <w:t xml:space="preserve">Insert: IV.3.1 below.</w:t>
      </w:r>
    </w:p>
    <w:p>
      <w:pPr>
        <w:spacing w:after="120"/>
      </w:pPr>
      <w:r>
        <w:rPr>
          <w:rFonts w:ascii="Arial" w:cs="Arial" w:eastAsia="Arial" w:hAnsi="Arial"/>
          <w:b w:val="false"/>
          <w:bCs w:val="false"/>
          <w:i w:val="false"/>
          <w:iCs w:val="false"/>
          <w:color w:val="FFFFFF"/>
          <w:sz w:val="22"/>
          <w:szCs w:val="22"/>
        </w:rPr>
        <w:t xml:space="preserve">After: IV.4 continues with "GrowDirect scales the inscription pool..."</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IV.3.1 — Receipt-as-a-Service: The Universal Verification Endpoint</w:t>
      </w:r>
    </w:p>
    <w:p>
      <w:pPr>
        <w:spacing w:after="80"/>
      </w:pPr>
    </w:p>
    <w:p>
      <w:pPr>
        <w:spacing w:after="120"/>
      </w:pPr>
      <w:r>
        <w:rPr>
          <w:rFonts w:ascii="Arial" w:cs="Arial" w:eastAsia="Arial" w:hAnsi="Arial"/>
          <w:b w:val="false"/>
          <w:bCs w:val="false"/>
          <w:i w:val="false"/>
          <w:iCs w:val="false"/>
          <w:color w:val="FFFFFF"/>
          <w:sz w:val="22"/>
          <w:szCs w:val="22"/>
        </w:rPr>
        <w:t xml:space="preserve">The Validation Gate described in IV.3 is an internal capability — GrowDirect's own merchants pay sats to validate their own records. But the architecture has a consequence that extends far beyond Canary LP subscribers.</w:t>
      </w:r>
    </w:p>
    <w:p>
      <w:pPr>
        <w:spacing w:after="80"/>
      </w:pPr>
    </w:p>
    <w:p>
      <w:pPr>
        <w:spacing w:after="120"/>
      </w:pPr>
      <w:r>
        <w:rPr>
          <w:rFonts w:ascii="Arial" w:cs="Arial" w:eastAsia="Arial" w:hAnsi="Arial"/>
          <w:b w:val="false"/>
          <w:bCs w:val="false"/>
          <w:i w:val="false"/>
          <w:iCs w:val="false"/>
          <w:color w:val="FFFFFF"/>
          <w:sz w:val="22"/>
          <w:szCs w:val="22"/>
        </w:rPr>
        <w:t xml:space="preserve">Because the CRDM (III.2) normalizes any point-of-sale data into canonical schema — regardless of source POS system — the notarization service (IV.2) and validation gate (IV.3) are schema-agnostic by design. The Triple Subscriber Pipeline does not care whether the webhook originated from Square, Clover, Toast, Lightspeed, Shopify POS, or a standalone terminal. It cares that the event conforms to canonical schema. Once normalized, the event is sealed, batched, inscribed, and gateable — identically — regardless of origin.</w:t>
      </w:r>
    </w:p>
    <w:p>
      <w:pPr>
        <w:spacing w:after="80"/>
      </w:pPr>
    </w:p>
    <w:p>
      <w:pPr>
        <w:spacing w:after="120"/>
      </w:pPr>
      <w:r>
        <w:rPr>
          <w:rFonts w:ascii="Arial" w:cs="Arial" w:eastAsia="Arial" w:hAnsi="Arial"/>
          <w:b w:val="false"/>
          <w:bCs w:val="false"/>
          <w:i w:val="false"/>
          <w:iCs w:val="false"/>
          <w:color w:val="FFFFFF"/>
          <w:sz w:val="22"/>
          <w:szCs w:val="22"/>
        </w:rPr>
        <w:t xml:space="preserve">This is Receipt-as-a-Service (RaaS): the business model that emerges from schema-agnostic design plus a universal validation gate.</w:t>
      </w:r>
    </w:p>
    <w:p>
      <w:pPr>
        <w:spacing w:after="80"/>
      </w:pPr>
    </w:p>
    <w:p>
      <w:pPr>
        <w:spacing w:after="120"/>
      </w:pPr>
      <w:r>
        <w:rPr>
          <w:rFonts w:ascii="Arial" w:cs="Arial" w:eastAsia="Arial" w:hAnsi="Arial"/>
          <w:b w:val="false"/>
          <w:bCs w:val="false"/>
          <w:i w:val="false"/>
          <w:iCs w:val="false"/>
          <w:color w:val="FFFFFF"/>
          <w:sz w:val="22"/>
          <w:szCs w:val="22"/>
        </w:rPr>
        <w:t xml:space="preserve">RaaS is not a new product. It is not a new layer. It is the natural consequence of the architecture already described in Sections III through IV.3.</w:t>
      </w:r>
    </w:p>
    <w:p>
      <w:pPr>
        <w:spacing w:after="80"/>
      </w:pPr>
    </w:p>
    <w:p>
      <w:pPr>
        <w:spacing w:after="120" w:before="200"/>
      </w:pPr>
      <w:r>
        <w:rPr>
          <w:rFonts w:ascii="Arial" w:cs="Arial" w:eastAsia="Arial" w:hAnsi="Arial"/>
          <w:b/>
          <w:bCs/>
          <w:color w:val="F59E0B"/>
          <w:sz w:val="24"/>
          <w:szCs w:val="24"/>
        </w:rPr>
        <w:t xml:space="preserve">The API Surface</w:t>
      </w:r>
    </w:p>
    <w:p>
      <w:pPr>
        <w:spacing w:after="80"/>
      </w:pPr>
    </w:p>
    <w:p>
      <w:pPr>
        <w:spacing w:after="120"/>
      </w:pPr>
      <w:r>
        <w:rPr>
          <w:rFonts w:ascii="Arial" w:cs="Arial" w:eastAsia="Arial" w:hAnsi="Arial"/>
          <w:b w:val="false"/>
          <w:bCs w:val="false"/>
          <w:i w:val="false"/>
          <w:iCs w:val="false"/>
          <w:color w:val="FFFFFF"/>
          <w:sz w:val="22"/>
          <w:szCs w:val="22"/>
        </w:rPr>
        <w:t xml:space="preserve">Any POS integrator calls two endpoints:</w:t>
      </w:r>
    </w:p>
    <w:p>
      <w:pPr>
        <w:spacing w:after="80"/>
      </w:pPr>
    </w:p>
    <w:p>
      <w:pPr>
        <w:shd w:fill="0D1117" w:val="clear"/>
        <w:spacing w:after="80"/>
        <w:ind w:left="360" w:right="360"/>
      </w:pPr>
      <w:r>
        <w:rPr>
          <w:rFonts w:ascii="Courier New" w:cs="Courier New" w:eastAsia="Courier New" w:hAnsi="Courier New"/>
          <w:color w:val="C9D1D9"/>
          <w:sz w:val="18"/>
          <w:szCs w:val="18"/>
        </w:rPr>
        <w:t xml:space="preserve">POST /verify
Content-Type: application/json
{
  "event_hash": "sha256:a3f9...",
  "pos_system": "clover",
  "merchant_id": "sunrise-coffee.jeffe",
  "timestamp": "2026-03-01T14:32:15Z"
}
→ 402 Payment Required
→ Lightning invoice: 1 sat
→ Pay invoice
→ 200 OK
{
  "verified": true,
  "block": 884201,
  "merkle_position": 4721,
  "inscription_id": "i39f7a...",
  "namespace": "sunrise-coffee.jeffe",
  "canonical_authority": "eljeffe.io"
}</w:t>
      </w:r>
    </w:p>
    <w:p>
      <w:pPr>
        <w:spacing w:after="80"/>
      </w:pPr>
    </w:p>
    <w:p>
      <w:pPr>
        <w:shd w:fill="0D1117" w:val="clear"/>
        <w:spacing w:after="80"/>
        <w:ind w:left="360" w:right="360"/>
      </w:pPr>
      <w:r>
        <w:rPr>
          <w:rFonts w:ascii="Courier New" w:cs="Courier New" w:eastAsia="Courier New" w:hAnsi="Courier New"/>
          <w:color w:val="C9D1D9"/>
          <w:sz w:val="18"/>
          <w:szCs w:val="18"/>
        </w:rPr>
        <w:t xml:space="preserve">GET /receipt/sunrise-coffee.jeffe?range=2026-03-01
Authorization: L402 [macaroon + preimage]
→ 200 OK
{
  "merchant": "sunrise-coffee.jeffe",
  "receipts": [
    {
      "event_hash": "sha256:a3f9...",
      "timestamp": "2026-03-01T14:32:15Z",
      "verified": true,
      "inscription_id": "i39f7a...",
      "merkle_proof": ["sha256:b2c4...", "sha256:d8e1..."]
    }
  ],
  "total": 187,
  "anchor_block": 884201
}</w:t>
      </w:r>
    </w:p>
    <w:p>
      <w:pPr>
        <w:spacing w:after="80"/>
      </w:pPr>
    </w:p>
    <w:p>
      <w:pPr>
        <w:spacing w:after="120"/>
      </w:pPr>
      <w:r>
        <w:rPr>
          <w:rFonts w:ascii="Arial" w:cs="Arial" w:eastAsia="Arial" w:hAnsi="Arial"/>
          <w:b w:val="false"/>
          <w:bCs w:val="false"/>
          <w:i w:val="false"/>
          <w:iCs w:val="false"/>
          <w:color w:val="FFFFFF"/>
          <w:sz w:val="22"/>
          <w:szCs w:val="22"/>
        </w:rPr>
        <w:t xml:space="preserve">The first endpoint verifies a single receipt hash against the canonical inscription record. The second resolves a .jeffe merchant name to their receipt history with Merkle proofs. Both are gated by L402 micropayment — one sat per call.</w:t>
      </w:r>
    </w:p>
    <w:p>
      <w:pPr>
        <w:spacing w:after="80"/>
      </w:pPr>
    </w:p>
    <w:p>
      <w:pPr>
        <w:spacing w:after="120" w:before="200"/>
      </w:pPr>
      <w:r>
        <w:rPr>
          <w:rFonts w:ascii="Arial" w:cs="Arial" w:eastAsia="Arial" w:hAnsi="Arial"/>
          <w:b/>
          <w:bCs/>
          <w:color w:val="F59E0B"/>
          <w:sz w:val="24"/>
          <w:szCs w:val="24"/>
        </w:rPr>
        <w:t xml:space="preserve">Who Calls This API</w:t>
      </w:r>
    </w:p>
    <w:p>
      <w:pPr>
        <w:spacing w:after="80"/>
      </w:pPr>
    </w:p>
    <w:p>
      <w:pPr>
        <w:spacing w:after="120"/>
      </w:pPr>
      <w:r>
        <w:rPr>
          <w:rFonts w:ascii="Arial" w:cs="Arial" w:eastAsia="Arial" w:hAnsi="Arial"/>
          <w:b w:val="false"/>
          <w:bCs w:val="false"/>
          <w:i w:val="false"/>
          <w:iCs w:val="false"/>
          <w:color w:val="FFFFFF"/>
          <w:sz w:val="22"/>
          <w:szCs w:val="22"/>
        </w:rPr>
        <w:t xml:space="preserve">The RaaS API is not for merchants. Merchants use Canary LP (the subscription product) to generate and manage their receipts. The RaaS API is for everyone else:</w:t>
      </w:r>
    </w:p>
    <w:p>
      <w:pPr>
        <w:spacing w:after="80"/>
      </w:pPr>
    </w:p>
    <w:p>
      <w:pPr>
        <w:spacing w:after="120"/>
      </w:pPr>
      <w:r>
        <w:rPr>
          <w:rFonts w:ascii="Arial" w:cs="Arial" w:eastAsia="Arial" w:hAnsi="Arial"/>
          <w:b w:val="false"/>
          <w:bCs w:val="false"/>
          <w:i w:val="false"/>
          <w:iCs w:val="false"/>
          <w:color w:val="FFFFFF"/>
          <w:sz w:val="22"/>
          <w:szCs w:val="22"/>
        </w:rPr>
        <w:t xml:space="preserve">POS integrators: Clover, Toast, Lightspeed, Shopify POS, and standalone terminal manufacturers. They don't build a loss prevention product. They don't build a blockchain layer. They hit the API, pay a sat, and return a verified receipt to their merchant. Integration time: days, not months. The CRDM handles normalization. The L402 handles payment. The Ordinals handle permanence.</w:t>
      </w:r>
    </w:p>
    <w:p>
      <w:pPr>
        <w:spacing w:after="80"/>
      </w:pPr>
    </w:p>
    <w:p>
      <w:pPr>
        <w:spacing w:after="120"/>
      </w:pPr>
      <w:r>
        <w:rPr>
          <w:rFonts w:ascii="Arial" w:cs="Arial" w:eastAsia="Arial" w:hAnsi="Arial"/>
          <w:b w:val="false"/>
          <w:bCs w:val="false"/>
          <w:i w:val="false"/>
          <w:iCs w:val="false"/>
          <w:color w:val="FFFFFF"/>
          <w:sz w:val="22"/>
          <w:szCs w:val="22"/>
        </w:rPr>
        <w:t xml:space="preserve">Auditors and accountants: Any firm conducting a financial audit can query the receipt registry by merchant .jeffe name, verify individual transactions against Bitcoin proofs, and confirm that the merchant's records are consistent with the canonical chain. No special software. No blockchain expertise. One API call.</w:t>
      </w:r>
    </w:p>
    <w:p>
      <w:pPr>
        <w:spacing w:after="80"/>
      </w:pPr>
    </w:p>
    <w:p>
      <w:pPr>
        <w:spacing w:after="120"/>
      </w:pPr>
      <w:r>
        <w:rPr>
          <w:rFonts w:ascii="Arial" w:cs="Arial" w:eastAsia="Arial" w:hAnsi="Arial"/>
          <w:b w:val="false"/>
          <w:bCs w:val="false"/>
          <w:i w:val="false"/>
          <w:iCs w:val="false"/>
          <w:color w:val="FFFFFF"/>
          <w:sz w:val="22"/>
          <w:szCs w:val="22"/>
        </w:rPr>
        <w:t xml:space="preserve">Insurance companies: When a merchant files a claim — theft, spoilage, equipment failure — the insurer queries the receipt registry for the claimed period. If the receipts are on-chain and verified, the claim is substantiated in seconds. If they are absent or inconsistent, the claim is flagged. The L402 gate generates revenue on every query.</w:t>
      </w:r>
    </w:p>
    <w:p>
      <w:pPr>
        <w:spacing w:after="80"/>
      </w:pPr>
    </w:p>
    <w:p>
      <w:pPr>
        <w:spacing w:after="120"/>
      </w:pPr>
      <w:r>
        <w:rPr>
          <w:rFonts w:ascii="Arial" w:cs="Arial" w:eastAsia="Arial" w:hAnsi="Arial"/>
          <w:b w:val="false"/>
          <w:bCs w:val="false"/>
          <w:i w:val="false"/>
          <w:iCs w:val="false"/>
          <w:color w:val="FFFFFF"/>
          <w:sz w:val="22"/>
          <w:szCs w:val="22"/>
        </w:rPr>
        <w:t xml:space="preserve">Regulators and law enforcement: A tax authority auditing a merchant's reported revenue can cross-reference against the inscription record. A prosecutor investigating fraud can subpoena the .jeffe namespace. The records are permanent. The proofs are mathematical. The gate is open to anyone who pays.</w:t>
      </w:r>
    </w:p>
    <w:p>
      <w:pPr>
        <w:spacing w:after="80"/>
      </w:pPr>
    </w:p>
    <w:p>
      <w:pPr>
        <w:spacing w:after="120"/>
      </w:pPr>
      <w:r>
        <w:rPr>
          <w:rFonts w:ascii="Arial" w:cs="Arial" w:eastAsia="Arial" w:hAnsi="Arial"/>
          <w:b w:val="false"/>
          <w:bCs w:val="false"/>
          <w:i w:val="false"/>
          <w:iCs w:val="false"/>
          <w:color w:val="FFFFFF"/>
          <w:sz w:val="22"/>
          <w:szCs w:val="22"/>
        </w:rPr>
        <w:t xml:space="preserve">Other SaaS platforms: Any software platform that handles merchant transactions — payroll, inventory, scheduling, loyalty — can integrate receipt verification as a feature. "Verified by elJeffe" becomes a trust badge. Each verification call generates revenue for the protocol.</w:t>
      </w:r>
    </w:p>
    <w:p>
      <w:pPr>
        <w:spacing w:after="80"/>
      </w:pPr>
    </w:p>
    <w:p>
      <w:pPr>
        <w:spacing w:after="120" w:before="200"/>
      </w:pPr>
      <w:r>
        <w:rPr>
          <w:rFonts w:ascii="Arial" w:cs="Arial" w:eastAsia="Arial" w:hAnsi="Arial"/>
          <w:b/>
          <w:bCs/>
          <w:color w:val="F59E0B"/>
          <w:sz w:val="24"/>
          <w:szCs w:val="24"/>
        </w:rPr>
        <w:t xml:space="preserve">The Economics</w:t>
      </w:r>
    </w:p>
    <w:p>
      <w:pPr>
        <w:spacing w:after="80"/>
      </w:pPr>
    </w:p>
    <w:p>
      <w:pPr>
        <w:spacing w:after="120"/>
      </w:pPr>
      <w:r>
        <w:rPr>
          <w:rFonts w:ascii="Arial" w:cs="Arial" w:eastAsia="Arial" w:hAnsi="Arial"/>
          <w:b w:val="false"/>
          <w:bCs w:val="false"/>
          <w:i w:val="false"/>
          <w:iCs w:val="false"/>
          <w:color w:val="FFFFFF"/>
          <w:sz w:val="22"/>
          <w:szCs w:val="22"/>
        </w:rPr>
        <w:t xml:space="preserve">RaaS revenue is additive to subscription revenue. It is also structurally different:</w:t>
      </w:r>
    </w:p>
    <w:p>
      <w:pPr>
        <w:spacing w:after="80"/>
      </w:pP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Subscription revenue comes from active Canary LP merchants. It stops when they churn.</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Validation revenue (IV.3) comes from anyone querying past inscriptions. It continues after churn.</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RaaS revenue comes from external POS integrators and third parties who were never Canary subscribers. It is an entirely new revenue stream that requires zero additional infrastructure.</w:t>
      </w:r>
    </w:p>
    <w:p>
      <w:pPr>
        <w:spacing w:after="80"/>
      </w:pPr>
    </w:p>
    <w:p>
      <w:pPr>
        <w:spacing w:after="120"/>
      </w:pPr>
      <w:r>
        <w:rPr>
          <w:rFonts w:ascii="Arial" w:cs="Arial" w:eastAsia="Arial" w:hAnsi="Arial"/>
          <w:b w:val="false"/>
          <w:bCs w:val="false"/>
          <w:i w:val="false"/>
          <w:iCs w:val="false"/>
          <w:color w:val="FFFFFF"/>
          <w:sz w:val="22"/>
          <w:szCs w:val="22"/>
        </w:rPr>
        <w:t xml:space="preserve">The unit economics are simple: every RaaS API call costs GrowDirect nothing (the inscription is already on-chain; the query hits existing infrastructure). Every call generates 1 sat in revenue. At $85,000/BTC, 1 sat = $0.00085. At 1 million calls per day (achievable at 350+ merchants with multiple integrators querying), daily RaaS revenue = $850. Annual = $310,250 — in pure margin, from infrastructure that already exists.</w:t>
      </w:r>
    </w:p>
    <w:p>
      <w:pPr>
        <w:spacing w:after="80"/>
      </w:pPr>
    </w:p>
    <w:p>
      <w:pPr>
        <w:spacing w:after="120"/>
      </w:pPr>
      <w:r>
        <w:rPr>
          <w:rFonts w:ascii="Arial" w:cs="Arial" w:eastAsia="Arial" w:hAnsi="Arial"/>
          <w:b w:val="false"/>
          <w:bCs w:val="false"/>
          <w:i w:val="false"/>
          <w:iCs w:val="false"/>
          <w:color w:val="FFFFFF"/>
          <w:sz w:val="22"/>
          <w:szCs w:val="22"/>
        </w:rPr>
        <w:t xml:space="preserve">At scale (10,000+ merchants across multiple POS platforms), RaaS revenue overtakes subscription revenue. The Canary LP subscription becomes the acquisition channel. The RaaS API becomes the business.</w:t>
      </w:r>
    </w:p>
    <w:p>
      <w:pPr>
        <w:spacing w:after="80"/>
      </w:pPr>
    </w:p>
    <w:p>
      <w:pPr>
        <w:spacing w:after="120" w:before="200"/>
      </w:pPr>
      <w:r>
        <w:rPr>
          <w:rFonts w:ascii="Arial" w:cs="Arial" w:eastAsia="Arial" w:hAnsi="Arial"/>
          <w:b/>
          <w:bCs/>
          <w:color w:val="F59E0B"/>
          <w:sz w:val="24"/>
          <w:szCs w:val="24"/>
        </w:rPr>
        <w:t xml:space="preserve">The Strategic Position</w:t>
      </w:r>
    </w:p>
    <w:p>
      <w:pPr>
        <w:spacing w:after="80"/>
      </w:pPr>
    </w:p>
    <w:p>
      <w:pPr>
        <w:spacing w:after="120"/>
      </w:pPr>
      <w:r>
        <w:rPr>
          <w:rFonts w:ascii="Arial" w:cs="Arial" w:eastAsia="Arial" w:hAnsi="Arial"/>
          <w:b w:val="false"/>
          <w:bCs w:val="false"/>
          <w:i w:val="false"/>
          <w:iCs w:val="false"/>
          <w:color w:val="FFFFFF"/>
          <w:sz w:val="22"/>
          <w:szCs w:val="22"/>
        </w:rPr>
        <w:t xml:space="preserve">Canary LP is the beachhead. It proves the protocol works on Square merchants — the most webhook-dense vertical in retail POS.</w:t>
      </w:r>
    </w:p>
    <w:p>
      <w:pPr>
        <w:spacing w:after="80"/>
      </w:pPr>
    </w:p>
    <w:p>
      <w:pPr>
        <w:spacing w:after="120"/>
      </w:pPr>
      <w:r>
        <w:rPr>
          <w:rFonts w:ascii="Arial" w:cs="Arial" w:eastAsia="Arial" w:hAnsi="Arial"/>
          <w:b w:val="false"/>
          <w:bCs w:val="false"/>
          <w:i w:val="false"/>
          <w:iCs w:val="false"/>
          <w:color w:val="FFFFFF"/>
          <w:sz w:val="22"/>
          <w:szCs w:val="22"/>
        </w:rPr>
        <w:t xml:space="preserve">elJeffe is the protocol. It normalizes, seals, batches, inscribes, and validates any event from any source.</w:t>
      </w:r>
    </w:p>
    <w:p>
      <w:pPr>
        <w:spacing w:after="80"/>
      </w:pPr>
    </w:p>
    <w:p>
      <w:pPr>
        <w:spacing w:after="120"/>
      </w:pPr>
      <w:r>
        <w:rPr>
          <w:rFonts w:ascii="Arial" w:cs="Arial" w:eastAsia="Arial" w:hAnsi="Arial"/>
          <w:b w:val="false"/>
          <w:bCs w:val="false"/>
          <w:i w:val="false"/>
          <w:iCs w:val="false"/>
          <w:color w:val="FFFFFF"/>
          <w:sz w:val="22"/>
          <w:szCs w:val="22"/>
        </w:rPr>
        <w:t xml:space="preserve">RaaS is the product every POS integrator buys. Not a subscription. Not a platform. An API call. One sat. One verified receipt. Universal.</w:t>
      </w:r>
    </w:p>
    <w:p>
      <w:pPr>
        <w:spacing w:after="80"/>
      </w:pPr>
    </w:p>
    <w:p>
      <w:pPr>
        <w:spacing w:after="120"/>
      </w:pPr>
      <w:r>
        <w:rPr>
          <w:rFonts w:ascii="Arial" w:cs="Arial" w:eastAsia="Arial" w:hAnsi="Arial"/>
          <w:b w:val="false"/>
          <w:bCs w:val="false"/>
          <w:i w:val="false"/>
          <w:iCs w:val="false"/>
          <w:color w:val="FFFFFF"/>
          <w:sz w:val="22"/>
          <w:szCs w:val="22"/>
        </w:rPr>
        <w:t xml:space="preserve">The moat deepens with every call. Every verification request against the canonical record is a vote of confidence in elJeffe as the standard. Every POS integrator who connects their merchants to the API adds nodes to the network. Every node increases the validation surface. The Genesis Pool's network value (IV.1, Metcalfe model) compounds with every integration.</w:t>
      </w:r>
    </w:p>
    <w:p>
      <w:pPr>
        <w:spacing w:after="80"/>
      </w:pPr>
    </w:p>
    <w:p>
      <w:pPr>
        <w:spacing w:after="120"/>
      </w:pPr>
      <w:r>
        <w:rPr>
          <w:rFonts w:ascii="Arial" w:cs="Arial" w:eastAsia="Arial" w:hAnsi="Arial"/>
          <w:b w:val="false"/>
          <w:bCs w:val="false"/>
          <w:i w:val="false"/>
          <w:iCs w:val="false"/>
          <w:color w:val="FFFFFF"/>
          <w:sz w:val="22"/>
          <w:szCs w:val="22"/>
        </w:rPr>
        <w:t xml:space="preserve">RaaS is not a side benefit. It is what the architecture was always building toward. The schema-agnostic CRDM, the Triple Subscriber Pipeline, the L402 gate, the .jeffe namespace — they are the plumbing. RaaS is the water.</w:t>
      </w:r>
    </w:p>
    <w:p>
      <w:pPr>
        <w:spacing w:after="80"/>
      </w:pPr>
    </w:p>
    <w:p>
      <w:pPr>
        <w:pBdr>
          <w:left w:val="single" w:color="8B949E" w:sz="4" w:space="8"/>
        </w:pBdr>
        <w:spacing w:after="120"/>
        <w:ind w:left="360"/>
      </w:pPr>
      <w:r>
        <w:rPr>
          <w:rFonts w:ascii="Arial" w:cs="Arial" w:eastAsia="Arial" w:hAnsi="Arial"/>
          <w:i/>
          <w:iCs/>
          <w:color w:val="8B949E"/>
          <w:sz w:val="22"/>
          <w:szCs w:val="22"/>
        </w:rPr>
        <w:t xml:space="preserve">Any POS. Any merchant. One API call.</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Routing</w:t>
      </w:r>
    </w:p>
    <w:p>
      <w:pPr>
        <w:spacing w:after="80"/>
      </w:pP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Syd: Legal review — RaaS positioning for investor materials. Regulatory implications of offering verification-as-a-service (is this a notary service? money transmitter? data processor?). See capture file for 6 legal questions already flagged.</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Tom: RaaS API design — `POST /verify` and `GET /receipt/{name}` endpoint specifications. L402 gate integration. Rate limiting. Swagger schema.</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Art: Investor deck — RaaS as the "why this is a $1B company" slide. Diagram showing Canary LP → elJeffe protocol → RaaS API → every POS on earth.</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Jess: War Chest — "Canary LP is the beachhead. elJeffe is the protocol. RaaS is the product every POS integrator buys." Update investor language.</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Will: Lead gen — The hook changes from namespace to API. "Any POS, any merchant, one API call."</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Task 4 (Position Paper): RaaS is the thesis statement of the position paper. Incorporate into Abstract and Section 1.</w:t>
      </w:r>
    </w:p>
    <w:p>
      <w:pPr>
        <w:spacing w:after="80"/>
      </w:pPr>
    </w:p>
    <w:p>
      <w:pPr>
        <w:pBdr>
          <w:bottom w:val="single" w:color="30363D" w:sz="2" w:space="8"/>
        </w:pBdr>
        <w:spacing w:after="200" w:before="200"/>
      </w:pPr>
    </w:p>
    <w:p>
      <w:pPr>
        <w:spacing w:after="80"/>
      </w:pPr>
    </w:p>
    <w:p>
      <w:pPr>
        <w:spacing w:after="120"/>
      </w:pPr>
      <w:r>
        <w:rPr>
          <w:rFonts w:ascii="Arial" w:cs="Arial" w:eastAsia="Arial" w:hAnsi="Arial"/>
          <w:b w:val="false"/>
          <w:bCs w:val="false"/>
          <w:i w:val="false"/>
          <w:iCs w:val="false"/>
          <w:color w:val="FFFFFF"/>
          <w:sz w:val="22"/>
          <w:szCs w:val="22"/>
        </w:rPr>
        <w:t xml:space="preserve">PhD | Research Framework | March 1, 2026</w:t>
      </w:r>
    </w:p>
    <w:p>
      <w:pPr>
        <w:spacing w:after="120"/>
      </w:pPr>
      <w:r>
        <w:rPr>
          <w:rFonts w:ascii="Arial" w:cs="Arial" w:eastAsia="Arial" w:hAnsi="Arial"/>
          <w:b w:val="false"/>
          <w:bCs w:val="false"/>
          <w:i w:val="false"/>
          <w:iCs w:val="false"/>
          <w:color w:val="FFFFFF"/>
          <w:sz w:val="22"/>
          <w:szCs w:val="22"/>
        </w:rPr>
        <w:t xml:space="preserve">B-077 Task 3 — RaaS Manifesto Section IV.3.1</w:t>
      </w:r>
    </w:p>
    <w:p>
      <w:pPr>
        <w:spacing w:after="80"/>
      </w:pPr>
    </w:p>
    <w:p>
      <w:r>
        <w:br w:type="page"/>
      </w:r>
    </w:p>
    <w:p>
      <w:pPr>
        <w:sectPr>
          <w:pgSz w:w="12240" w:h="15840" w:orient="portrait"/>
          <w:pgMar w:top="1440" w:right="1440" w:bottom="1440" w:left="1440" w:header="708" w:footer="708" w:gutter="0"/>
          <w:pgNumType/>
          <w:docGrid w:linePitch="360"/>
        </w:sectPr>
      </w:pPr>
    </w:p>
    <w:p>
      <w:pPr>
        <w:spacing w:after="200" w:before="360"/>
      </w:pPr>
      <w:r>
        <w:rPr>
          <w:rFonts w:ascii="Arial" w:cs="Arial" w:eastAsia="Arial" w:hAnsi="Arial"/>
          <w:b/>
          <w:bCs/>
          <w:color w:val="F59E0B"/>
          <w:sz w:val="36"/>
          <w:szCs w:val="36"/>
        </w:rPr>
        <w:t xml:space="preserve">Task 4: Position Paper — Sections 0–4 DRAFT</w:t>
      </w:r>
    </w:p>
    <w:p>
      <w:pPr>
        <w:spacing w:after="120"/>
      </w:pPr>
      <w:r>
        <w:rPr>
          <w:rFonts w:ascii="Arial" w:cs="Arial" w:eastAsia="Arial" w:hAnsi="Arial"/>
          <w:b w:val="false"/>
          <w:bCs w:val="false"/>
          <w:i w:val="false"/>
          <w:iCs w:val="false"/>
          <w:color w:val="8B949E"/>
          <w:sz w:val="22"/>
          <w:szCs w:val="22"/>
        </w:rPr>
        <w:t xml:space="preserve">B-077 Task 4  |  PhD  |  March 1, 2026  |  ~4,100 words  |  Section 11 BLOCKED on Syd</w:t>
      </w:r>
    </w:p>
    <w:p>
      <w:pPr>
        <w:pBdr>
          <w:bottom w:val="single" w:color="30363D" w:sz="2" w:space="8"/>
        </w:pBdr>
        <w:spacing w:after="200" w:before="200"/>
      </w:pPr>
    </w:p>
    <w:p>
      <w:pPr>
        <w:spacing w:after="160" w:before="280"/>
      </w:pPr>
      <w:r>
        <w:rPr>
          <w:rFonts w:ascii="Arial" w:cs="Arial" w:eastAsia="Arial" w:hAnsi="Arial"/>
          <w:b/>
          <w:bCs/>
          <w:color w:val="FFFFFF"/>
          <w:sz w:val="28"/>
          <w:szCs w:val="28"/>
        </w:rPr>
        <w:t xml:space="preserve">Architecture, Economics, and Governance of the elJeffe Protocol</w:t>
      </w:r>
    </w:p>
    <w:p>
      <w:pPr>
        <w:spacing w:after="80"/>
      </w:pP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Section 0 — Abstract</w:t>
      </w:r>
    </w:p>
    <w:p>
      <w:pPr>
        <w:spacing w:after="80"/>
      </w:pPr>
    </w:p>
    <w:p>
      <w:pPr>
        <w:spacing w:after="120"/>
      </w:pPr>
      <w:r>
        <w:rPr>
          <w:rFonts w:ascii="Arial" w:cs="Arial" w:eastAsia="Arial" w:hAnsi="Arial"/>
          <w:b w:val="false"/>
          <w:bCs w:val="false"/>
          <w:i w:val="false"/>
          <w:iCs w:val="false"/>
          <w:color w:val="FFFFFF"/>
          <w:sz w:val="22"/>
          <w:szCs w:val="22"/>
        </w:rPr>
        <w:t xml:space="preserve">The retail industry generates over $5 trillion in annual transaction volume across millions of merchant locations, yet every transaction record resides on mutable infrastructure controlled by third parties. When disputes arise — chargebacks, audits, insurance claims, regulatory inquiries — the merchant's evidence rests on the same mutable foundation as the counterparty's. The record can be argued with. This paper presents a position on Receipt-as-a-Service (RaaS): a Bitcoin-native protocol for universal event notarization that transforms arbitrary webhook-originated events into permanent, independently verifiable records on the Bitcoin time chain, and exposes that verification capability as a universal API endpoint accessible to any point-of-sale system on earth.</w:t>
      </w:r>
    </w:p>
    <w:p>
      <w:pPr>
        <w:spacing w:after="80"/>
      </w:pPr>
    </w:p>
    <w:p>
      <w:pPr>
        <w:spacing w:after="120"/>
      </w:pPr>
      <w:r>
        <w:rPr>
          <w:rFonts w:ascii="Arial" w:cs="Arial" w:eastAsia="Arial" w:hAnsi="Arial"/>
          <w:b w:val="false"/>
          <w:bCs w:val="false"/>
          <w:i w:val="false"/>
          <w:iCs w:val="false"/>
          <w:color w:val="FFFFFF"/>
          <w:sz w:val="22"/>
          <w:szCs w:val="22"/>
        </w:rPr>
        <w:t xml:space="preserve">We describe elJeffe, the protocol that implements RaaS through a six-node architecture and Triple Subscriber Pipeline (TSP) processing events in milliseconds while batching cryptographic proofs for periodic Ordinal inscription. We present a seven-layer economic model where validation revenue from past inscriptions funds future inscriptions, achieving protocol self-sufficiency at approximately 17 merchants — a convergence point confirmed independently across three economic models measuring Genesis Pool viability, marginal revenue economics, and permanent historical validation yield. We detail a hybrid chain architecture combining Avalanche sub-second execution with Bitcoin permanent settlement, wherein the Avalanche sidechain provides the real-time receipt layer that merchants require while Bitcoin provides the proof-of-work permanence that auditors demand. We present a Metcalfe's Law valuation model demonstrating that the Genesis Pool — the protocol's founding inscription endowment — compounds as a network asset whose value grows quadratically with merchant adoption, exceeding its static Bitcoin valuation by 69x at 350 merchants.</w:t>
      </w:r>
    </w:p>
    <w:p>
      <w:pPr>
        <w:spacing w:after="80"/>
      </w:pPr>
    </w:p>
    <w:p>
      <w:pPr>
        <w:spacing w:after="120"/>
      </w:pPr>
      <w:r>
        <w:rPr>
          <w:rFonts w:ascii="Arial" w:cs="Arial" w:eastAsia="Arial" w:hAnsi="Arial"/>
          <w:b w:val="false"/>
          <w:bCs w:val="false"/>
          <w:i w:val="false"/>
          <w:iCs w:val="false"/>
          <w:color w:val="FFFFFF"/>
          <w:sz w:val="22"/>
          <w:szCs w:val="22"/>
        </w:rPr>
        <w:t xml:space="preserve">The protocol's time-dependent moat — inscription at historically low Bitcoin fees during a window that three independent escalation drivers are closing — creates a thermodynamic advantage that cannot be replicated after the window closes. The entity that controls the first canonical inscription pool on the Bitcoin time chain, inscribed during this window, and gates validation via micropayment, holds a permanent economic position that compounds with every merchant event.</w:t>
      </w:r>
    </w:p>
    <w:p>
      <w:pPr>
        <w:spacing w:after="80"/>
      </w:pPr>
    </w:p>
    <w:p>
      <w:pPr>
        <w:spacing w:after="120"/>
      </w:pPr>
      <w:r>
        <w:rPr>
          <w:rFonts w:ascii="Arial" w:cs="Arial" w:eastAsia="Arial" w:hAnsi="Arial"/>
          <w:b w:val="false"/>
          <w:bCs w:val="false"/>
          <w:i w:val="false"/>
          <w:iCs w:val="false"/>
          <w:color w:val="FFFFFF"/>
          <w:sz w:val="22"/>
          <w:szCs w:val="22"/>
        </w:rPr>
        <w:t xml:space="preserve">RaaS is the thesis. The architecture is the proof.</w:t>
      </w:r>
    </w:p>
    <w:p>
      <w:pPr>
        <w:spacing w:after="80"/>
      </w:pP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Section 1 — Introduction: The Mutable Record Problem</w:t>
      </w:r>
    </w:p>
    <w:p>
      <w:pPr>
        <w:spacing w:after="80"/>
      </w:pPr>
    </w:p>
    <w:p>
      <w:pPr>
        <w:spacing w:after="120" w:before="200"/>
      </w:pPr>
      <w:r>
        <w:rPr>
          <w:rFonts w:ascii="Arial" w:cs="Arial" w:eastAsia="Arial" w:hAnsi="Arial"/>
          <w:b/>
          <w:bCs/>
          <w:color w:val="F59E0B"/>
          <w:sz w:val="24"/>
          <w:szCs w:val="24"/>
        </w:rPr>
        <w:t xml:space="preserve">1.1 The Persistence of Mutable Records</w:t>
      </w:r>
    </w:p>
    <w:p>
      <w:pPr>
        <w:spacing w:after="80"/>
      </w:pPr>
    </w:p>
    <w:p>
      <w:pPr>
        <w:spacing w:after="120"/>
      </w:pPr>
      <w:r>
        <w:rPr>
          <w:rFonts w:ascii="Arial" w:cs="Arial" w:eastAsia="Arial" w:hAnsi="Arial"/>
          <w:b w:val="false"/>
          <w:bCs w:val="false"/>
          <w:i w:val="false"/>
          <w:iCs w:val="false"/>
          <w:color w:val="FFFFFF"/>
          <w:sz w:val="22"/>
          <w:szCs w:val="22"/>
        </w:rPr>
        <w:t xml:space="preserve">For forty years, the retail industry has operated on a fundamental architectural contradiction. The records that adjudicate disputes between merchants, customers, payment processors, insurers, and regulators are stored on infrastructure that any party with administrative access can modify. The IBM 4690 operating system introduced the transaction log (tLog) in the 1980s as a sequential journal of point-of-sale events. It became the canonical record for loss prevention investigations, cash reconciliation, employee performance reviews, and regulatory audits across the global retail industry. It had one flaw that IBM understood and could not solve within the architecture of the era: it was a mutable file on a server controlled by the institution that generated it.</w:t>
      </w:r>
    </w:p>
    <w:p>
      <w:pPr>
        <w:spacing w:after="80"/>
      </w:pPr>
    </w:p>
    <w:p>
      <w:pPr>
        <w:spacing w:after="120"/>
      </w:pPr>
      <w:r>
        <w:rPr>
          <w:rFonts w:ascii="Arial" w:cs="Arial" w:eastAsia="Arial" w:hAnsi="Arial"/>
          <w:b w:val="false"/>
          <w:bCs w:val="false"/>
          <w:i w:val="false"/>
          <w:iCs w:val="false"/>
          <w:color w:val="FFFFFF"/>
          <w:sz w:val="22"/>
          <w:szCs w:val="22"/>
        </w:rPr>
        <w:t xml:space="preserve">Every loss prevention system built on top of the tLog — and every system built after it — inherited this limitation. Square's transaction logs reside on Square's servers. Clover's on Clover's. Toast's on Toast's. The merchant sees a dashboard. The dashboard shows what the server says. The server is controlled by someone who is not the merchant. The mutable record persists as the foundation of the entire retail data industry, not because the problem is unrecognized, but because until 2009 no technical primitive existed that could solve it at the foundation layer.</w:t>
      </w:r>
    </w:p>
    <w:p>
      <w:pPr>
        <w:spacing w:after="80"/>
      </w:pPr>
    </w:p>
    <w:p>
      <w:pPr>
        <w:spacing w:after="120" w:before="200"/>
      </w:pPr>
      <w:r>
        <w:rPr>
          <w:rFonts w:ascii="Arial" w:cs="Arial" w:eastAsia="Arial" w:hAnsi="Arial"/>
          <w:b/>
          <w:bCs/>
          <w:color w:val="F59E0B"/>
          <w:sz w:val="24"/>
          <w:szCs w:val="24"/>
        </w:rPr>
        <w:t xml:space="preserve">1.2 The Cost of Mutability</w:t>
      </w:r>
    </w:p>
    <w:p>
      <w:pPr>
        <w:spacing w:after="80"/>
      </w:pPr>
    </w:p>
    <w:p>
      <w:pPr>
        <w:spacing w:after="120"/>
      </w:pPr>
      <w:r>
        <w:rPr>
          <w:rFonts w:ascii="Arial" w:cs="Arial" w:eastAsia="Arial" w:hAnsi="Arial"/>
          <w:b w:val="false"/>
          <w:bCs w:val="false"/>
          <w:i w:val="false"/>
          <w:iCs w:val="false"/>
          <w:color w:val="FFFFFF"/>
          <w:sz w:val="22"/>
          <w:szCs w:val="22"/>
        </w:rPr>
        <w:t xml:space="preserve">The economic consequences of mutable records are not theoretical. They manifest in three categories that collectively represent the largest unaddressed cost center in retail operations.</w:t>
      </w:r>
    </w:p>
    <w:p>
      <w:pPr>
        <w:spacing w:after="80"/>
      </w:pPr>
    </w:p>
    <w:p>
      <w:pPr>
        <w:spacing w:after="120"/>
      </w:pPr>
      <w:r>
        <w:rPr>
          <w:rFonts w:ascii="Arial" w:cs="Arial" w:eastAsia="Arial" w:hAnsi="Arial"/>
          <w:b w:val="false"/>
          <w:bCs w:val="false"/>
          <w:i w:val="false"/>
          <w:iCs w:val="false"/>
          <w:color w:val="FFFFFF"/>
          <w:sz w:val="22"/>
          <w:szCs w:val="22"/>
        </w:rPr>
        <w:t xml:space="preserve">First, chargeback fraud. The global cost of chargebacks exceeded $117 billion in 2023 (Chargebacks911, 2024). The merchant's defense in a chargeback dispute is a transaction record. That record lives on a server the merchant does not control. The payment processor adjudicates the dispute by comparing the merchant's record (mutable, on the processor's infrastructure) against the customer's claim. The asymmetry is structural: the entity adjudicating the dispute controls the evidence. Merchants lose approximately 60% of chargeback disputes they contest, not because the transactions did not occur, but because they cannot produce evidence with independent verifiability.</w:t>
      </w:r>
    </w:p>
    <w:p>
      <w:pPr>
        <w:spacing w:after="80"/>
      </w:pPr>
    </w:p>
    <w:p>
      <w:pPr>
        <w:spacing w:after="120"/>
      </w:pPr>
      <w:r>
        <w:rPr>
          <w:rFonts w:ascii="Arial" w:cs="Arial" w:eastAsia="Arial" w:hAnsi="Arial"/>
          <w:b w:val="false"/>
          <w:bCs w:val="false"/>
          <w:i w:val="false"/>
          <w:iCs w:val="false"/>
          <w:color w:val="FFFFFF"/>
          <w:sz w:val="22"/>
          <w:szCs w:val="22"/>
        </w:rPr>
        <w:t xml:space="preserve">Second, internal loss. The National Retail Federation estimates $112.1 billion in retail shrink for 2023, of which employee theft accounts for approximately 29%. Loss prevention investigations depend on transaction logs to establish patterns — missing voids, excessive discounts, suspicious refund sequences. When the transaction log itself can be modified, edited, or selectively deleted, the evidentiary chain breaks. An employee accused of theft based on tLog analysis has no independent record to refute the accusation. The institution that generates the accusation controls the evidence. This is not a hypothetical failure mode — it is the daily reality of every loss prevention department in retail.</w:t>
      </w:r>
    </w:p>
    <w:p>
      <w:pPr>
        <w:spacing w:after="80"/>
      </w:pPr>
    </w:p>
    <w:p>
      <w:pPr>
        <w:spacing w:after="120"/>
      </w:pPr>
      <w:r>
        <w:rPr>
          <w:rFonts w:ascii="Arial" w:cs="Arial" w:eastAsia="Arial" w:hAnsi="Arial"/>
          <w:b w:val="false"/>
          <w:bCs w:val="false"/>
          <w:i w:val="false"/>
          <w:iCs w:val="false"/>
          <w:color w:val="FFFFFF"/>
          <w:sz w:val="22"/>
          <w:szCs w:val="22"/>
        </w:rPr>
        <w:t xml:space="preserve">Third, regulatory and audit exposure. Tax authorities, financial regulators, insurance adjusters, and legal proceedings all depend on transaction records as evidence. Every one of these use cases assumes the record is a faithful representation of what occurred. None of them can independently verify that assumption. The record is accepted on trust. Trust in the institution. Trust in the server. Trust in the administrator who has write access to the database. This trust model has persisted for four decades because no alternative existed.</w:t>
      </w:r>
    </w:p>
    <w:p>
      <w:pPr>
        <w:spacing w:after="80"/>
      </w:pPr>
    </w:p>
    <w:p>
      <w:pPr>
        <w:spacing w:after="120" w:before="200"/>
      </w:pPr>
      <w:r>
        <w:rPr>
          <w:rFonts w:ascii="Arial" w:cs="Arial" w:eastAsia="Arial" w:hAnsi="Arial"/>
          <w:b/>
          <w:bCs/>
          <w:color w:val="F59E0B"/>
          <w:sz w:val="24"/>
          <w:szCs w:val="24"/>
        </w:rPr>
        <w:t xml:space="preserve">1.3 Bitcoin as the Missing Primitive</w:t>
      </w:r>
    </w:p>
    <w:p>
      <w:pPr>
        <w:spacing w:after="80"/>
      </w:pPr>
    </w:p>
    <w:p>
      <w:pPr>
        <w:spacing w:after="120"/>
      </w:pPr>
      <w:r>
        <w:rPr>
          <w:rFonts w:ascii="Arial" w:cs="Arial" w:eastAsia="Arial" w:hAnsi="Arial"/>
          <w:b w:val="false"/>
          <w:bCs w:val="false"/>
          <w:i w:val="false"/>
          <w:iCs w:val="false"/>
          <w:color w:val="FFFFFF"/>
          <w:sz w:val="22"/>
          <w:szCs w:val="22"/>
        </w:rPr>
        <w:t xml:space="preserve">Bitcoin's proof-of-work consensus mechanism, operational since January 3, 2009, solved the mutable record problem for financial transactions. The same mechanism — cryptographic hashing, append-only chain, no administrative override — solves it for arbitrary events. The Bitcoin time chain is a neutral, permanently accessible, independently auditable record that no single party controls.</w:t>
      </w:r>
    </w:p>
    <w:p>
      <w:pPr>
        <w:spacing w:after="80"/>
      </w:pPr>
    </w:p>
    <w:p>
      <w:pPr>
        <w:spacing w:after="120"/>
      </w:pPr>
      <w:r>
        <w:rPr>
          <w:rFonts w:ascii="Arial" w:cs="Arial" w:eastAsia="Arial" w:hAnsi="Arial"/>
          <w:b w:val="false"/>
          <w:bCs w:val="false"/>
          <w:i w:val="false"/>
          <w:iCs w:val="false"/>
          <w:color w:val="FFFFFF"/>
          <w:sz w:val="22"/>
          <w:szCs w:val="22"/>
        </w:rPr>
        <w:t xml:space="preserve">The Ordinals protocol (Casey Rodarmor, January 2023) extended Bitcoin's data layer by enabling arbitrary data inscription on individual satoshis. For the first time, non-financial data — including cryptographic hashes of business events — could be permanently inscribed on the Bitcoin base layer with the same security guarantees as Bitcoin transactions themselves.</w:t>
      </w:r>
    </w:p>
    <w:p>
      <w:pPr>
        <w:spacing w:after="80"/>
      </w:pPr>
    </w:p>
    <w:p>
      <w:pPr>
        <w:spacing w:after="120"/>
      </w:pPr>
      <w:r>
        <w:rPr>
          <w:rFonts w:ascii="Arial" w:cs="Arial" w:eastAsia="Arial" w:hAnsi="Arial"/>
          <w:b w:val="false"/>
          <w:bCs w:val="false"/>
          <w:i w:val="false"/>
          <w:iCs w:val="false"/>
          <w:color w:val="FFFFFF"/>
          <w:sz w:val="22"/>
          <w:szCs w:val="22"/>
        </w:rPr>
        <w:t xml:space="preserve">This paper presents elJeffe, a protocol that combines these primitives into a complete event notarization system: webhook-originated events are received, hashed, sealed in a legal-evidence store, batched into Merkle trees, and inscribed as Ordinal roots on Bitcoin. The result is a receipt that any party — merchant, auditor, insurer, regulator, court — can independently verify by querying the Bitcoin blockchain, without trusting elJeffe, without trusting the merchant, without trusting anyone. The verification is mathematical.</w:t>
      </w:r>
    </w:p>
    <w:p>
      <w:pPr>
        <w:spacing w:after="80"/>
      </w:pPr>
    </w:p>
    <w:p>
      <w:pPr>
        <w:spacing w:after="120" w:before="200"/>
      </w:pPr>
      <w:r>
        <w:rPr>
          <w:rFonts w:ascii="Arial" w:cs="Arial" w:eastAsia="Arial" w:hAnsi="Arial"/>
          <w:b/>
          <w:bCs/>
          <w:color w:val="F59E0B"/>
          <w:sz w:val="24"/>
          <w:szCs w:val="24"/>
        </w:rPr>
        <w:t xml:space="preserve">1.4 Receipt-as-a-Service</w:t>
      </w:r>
    </w:p>
    <w:p>
      <w:pPr>
        <w:spacing w:after="80"/>
      </w:pPr>
    </w:p>
    <w:p>
      <w:pPr>
        <w:spacing w:after="120"/>
      </w:pPr>
      <w:r>
        <w:rPr>
          <w:rFonts w:ascii="Arial" w:cs="Arial" w:eastAsia="Arial" w:hAnsi="Arial"/>
          <w:b w:val="false"/>
          <w:bCs w:val="false"/>
          <w:i w:val="false"/>
          <w:iCs w:val="false"/>
          <w:color w:val="FFFFFF"/>
          <w:sz w:val="22"/>
          <w:szCs w:val="22"/>
        </w:rPr>
        <w:t xml:space="preserve">The architecture described in this paper produces an emergent capability that extends beyond the initial loss prevention application. Because the protocol normalizes any point-of-sale data into canonical schema through a schema-agnostic data model (the Canonical Retail Data Model, or CRDM), the notarization service is not bound to any single POS system. Square, Clover, Toast, Lightspeed, Shopify POS, standalone terminals — any system that generates webhook events can submit them for notarization.</w:t>
      </w:r>
    </w:p>
    <w:p>
      <w:pPr>
        <w:spacing w:after="80"/>
      </w:pPr>
    </w:p>
    <w:p>
      <w:pPr>
        <w:spacing w:after="120"/>
      </w:pPr>
      <w:r>
        <w:rPr>
          <w:rFonts w:ascii="Arial" w:cs="Arial" w:eastAsia="Arial" w:hAnsi="Arial"/>
          <w:b w:val="false"/>
          <w:bCs w:val="false"/>
          <w:i w:val="false"/>
          <w:iCs w:val="false"/>
          <w:color w:val="FFFFFF"/>
          <w:sz w:val="22"/>
          <w:szCs w:val="22"/>
        </w:rPr>
        <w:t xml:space="preserve">This capability is Receipt-as-a-Service (RaaS): a universal verification endpoint where any POS integrator calls the API, pays a satoshi via Lightning micropayment, and receives a verified receipt backed by Bitcoin proof-of-work. RaaS is not a separate product built on top of the protocol. It is the natural consequence of schema-agnostic design combined with a universal validation gate. The architecture described in Sections 2–4 is the proof that RaaS is technically achievable. The economics described in subsequent sections demonstrate that it is commercially viable. The governance model ensures it scales without centralized control.</w:t>
      </w:r>
    </w:p>
    <w:p>
      <w:pPr>
        <w:spacing w:after="80"/>
      </w:pPr>
    </w:p>
    <w:p>
      <w:pPr>
        <w:spacing w:after="120"/>
      </w:pPr>
      <w:r>
        <w:rPr>
          <w:rFonts w:ascii="Arial" w:cs="Arial" w:eastAsia="Arial" w:hAnsi="Arial"/>
          <w:b w:val="false"/>
          <w:bCs w:val="false"/>
          <w:i w:val="false"/>
          <w:iCs w:val="false"/>
          <w:color w:val="FFFFFF"/>
          <w:sz w:val="22"/>
          <w:szCs w:val="22"/>
        </w:rPr>
        <w:t xml:space="preserve">Canary LP, GrowDirect's initial product, is the beachhead — proving the protocol on Square merchants in the most webhook-dense vertical in retail POS. elJeffe is the protocol. RaaS is the product every POS integrator buys.</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Section 2 — The gLog: From Transaction Log to Time Chain</w:t>
      </w:r>
    </w:p>
    <w:p>
      <w:pPr>
        <w:spacing w:after="80"/>
      </w:pPr>
    </w:p>
    <w:p>
      <w:pPr>
        <w:spacing w:after="120" w:before="200"/>
      </w:pPr>
      <w:r>
        <w:rPr>
          <w:rFonts w:ascii="Arial" w:cs="Arial" w:eastAsia="Arial" w:hAnsi="Arial"/>
          <w:b/>
          <w:bCs/>
          <w:color w:val="F59E0B"/>
          <w:sz w:val="24"/>
          <w:szCs w:val="24"/>
        </w:rPr>
        <w:t xml:space="preserve">2.1 The tLog Legacy</w:t>
      </w:r>
    </w:p>
    <w:p>
      <w:pPr>
        <w:spacing w:after="80"/>
      </w:pPr>
    </w:p>
    <w:p>
      <w:pPr>
        <w:spacing w:after="120"/>
      </w:pPr>
      <w:r>
        <w:rPr>
          <w:rFonts w:ascii="Arial" w:cs="Arial" w:eastAsia="Arial" w:hAnsi="Arial"/>
          <w:b w:val="false"/>
          <w:bCs w:val="false"/>
          <w:i w:val="false"/>
          <w:iCs w:val="false"/>
          <w:color w:val="FFFFFF"/>
          <w:sz w:val="22"/>
          <w:szCs w:val="22"/>
        </w:rPr>
        <w:t xml:space="preserve">The transaction log (tLog) was IBM's answer to the question: "How do we record what happened at the register?" It answered the question within the constraints of 1980s computing — a sequential, mutable file on a locally attached server. For its era, it was remarkable. It enabled an entire industry of loss prevention, cash management, and regulatory compliance. But its mutability was not a bug; it was an architectural constraint that could not be overcome with the technology available.</w:t>
      </w:r>
    </w:p>
    <w:p>
      <w:pPr>
        <w:spacing w:after="80"/>
      </w:pPr>
    </w:p>
    <w:p>
      <w:pPr>
        <w:spacing w:after="120"/>
      </w:pPr>
      <w:r>
        <w:rPr>
          <w:rFonts w:ascii="Arial" w:cs="Arial" w:eastAsia="Arial" w:hAnsi="Arial"/>
          <w:b w:val="false"/>
          <w:bCs w:val="false"/>
          <w:i w:val="false"/>
          <w:iCs w:val="false"/>
          <w:color w:val="FFFFFF"/>
          <w:sz w:val="22"/>
          <w:szCs w:val="22"/>
        </w:rPr>
        <w:t xml:space="preserve">The tLog's descendants — the transaction databases of Square, Clover, Toast, and every modern POS system — inherited the same fundamental limitation. The storage medium changed (local disk to cloud database). The access model changed (physical console to API). The scale changed (single register to millions of merchants). The mutability persisted. Every transaction record in every modern POS system can be modified, deleted, or reinterpreted by the party that controls the database.</w:t>
      </w:r>
    </w:p>
    <w:p>
      <w:pPr>
        <w:spacing w:after="80"/>
      </w:pPr>
    </w:p>
    <w:p>
      <w:pPr>
        <w:spacing w:after="120" w:before="200"/>
      </w:pPr>
      <w:r>
        <w:rPr>
          <w:rFonts w:ascii="Arial" w:cs="Arial" w:eastAsia="Arial" w:hAnsi="Arial"/>
          <w:b/>
          <w:bCs/>
          <w:color w:val="F59E0B"/>
          <w:sz w:val="24"/>
          <w:szCs w:val="24"/>
        </w:rPr>
        <w:t xml:space="preserve">2.2 The gLog Principle</w:t>
      </w:r>
    </w:p>
    <w:p>
      <w:pPr>
        <w:spacing w:after="80"/>
      </w:pPr>
    </w:p>
    <w:p>
      <w:pPr>
        <w:spacing w:after="120"/>
      </w:pPr>
      <w:r>
        <w:rPr>
          <w:rFonts w:ascii="Arial" w:cs="Arial" w:eastAsia="Arial" w:hAnsi="Arial"/>
          <w:b w:val="false"/>
          <w:bCs w:val="false"/>
          <w:i w:val="false"/>
          <w:iCs w:val="false"/>
          <w:color w:val="FFFFFF"/>
          <w:sz w:val="22"/>
          <w:szCs w:val="22"/>
        </w:rPr>
        <w:t xml:space="preserve">The gLog (GrowDirect Log) replaces the tLog's mutable foundation with an immutable one. It does not improve the tLog. It replaces the layer on which the tLog sits.</w:t>
      </w:r>
    </w:p>
    <w:p>
      <w:pPr>
        <w:spacing w:after="80"/>
      </w:pPr>
    </w:p>
    <w:p>
      <w:pPr>
        <w:spacing w:after="120"/>
      </w:pPr>
      <w:r>
        <w:rPr>
          <w:rFonts w:ascii="Arial" w:cs="Arial" w:eastAsia="Arial" w:hAnsi="Arial"/>
          <w:b w:val="false"/>
          <w:bCs w:val="false"/>
          <w:i w:val="false"/>
          <w:iCs w:val="false"/>
          <w:color w:val="FFFFFF"/>
          <w:sz w:val="22"/>
          <w:szCs w:val="22"/>
        </w:rPr>
        <w:t xml:space="preserve">The gLog principle is simple: every event that would have been written to a tLog is instead hashed (SHA-256), sealed in an append-only evidence store with immutability triggers, batched into a Merkle tree with other events, and inscribed on the Bitcoin time chain as an Ordinal. The event still reaches the merchant's dashboard in milliseconds. But the cryptographic proof of that event now lives on a chain that no one controls, that no one can edit, and that anyone can verify.</w:t>
      </w:r>
    </w:p>
    <w:p>
      <w:pPr>
        <w:spacing w:after="80"/>
      </w:pPr>
    </w:p>
    <w:p>
      <w:pPr>
        <w:spacing w:after="120"/>
      </w:pPr>
      <w:r>
        <w:rPr>
          <w:rFonts w:ascii="Arial" w:cs="Arial" w:eastAsia="Arial" w:hAnsi="Arial"/>
          <w:b w:val="false"/>
          <w:bCs w:val="false"/>
          <w:i w:val="false"/>
          <w:iCs w:val="false"/>
          <w:color w:val="FFFFFF"/>
          <w:sz w:val="22"/>
          <w:szCs w:val="22"/>
        </w:rPr>
        <w:t xml:space="preserve">The tLog recorded what happened. The gLog proves what happened, to anyone, forever, without asking anyone to trust anyone.</w:t>
      </w:r>
    </w:p>
    <w:p>
      <w:pPr>
        <w:spacing w:after="80"/>
      </w:pPr>
    </w:p>
    <w:p>
      <w:pPr>
        <w:spacing w:after="120" w:before="200"/>
      </w:pPr>
      <w:r>
        <w:rPr>
          <w:rFonts w:ascii="Arial" w:cs="Arial" w:eastAsia="Arial" w:hAnsi="Arial"/>
          <w:b/>
          <w:bCs/>
          <w:color w:val="F59E0B"/>
          <w:sz w:val="24"/>
          <w:szCs w:val="24"/>
        </w:rPr>
        <w:t xml:space="preserve">2.3 Schema Agnosticism: The CRDM</w:t>
      </w:r>
    </w:p>
    <w:p>
      <w:pPr>
        <w:spacing w:after="80"/>
      </w:pPr>
    </w:p>
    <w:p>
      <w:pPr>
        <w:spacing w:after="120"/>
      </w:pPr>
      <w:r>
        <w:rPr>
          <w:rFonts w:ascii="Arial" w:cs="Arial" w:eastAsia="Arial" w:hAnsi="Arial"/>
          <w:b w:val="false"/>
          <w:bCs w:val="false"/>
          <w:i w:val="false"/>
          <w:iCs w:val="false"/>
          <w:color w:val="FFFFFF"/>
          <w:sz w:val="22"/>
          <w:szCs w:val="22"/>
        </w:rPr>
        <w:t xml:space="preserve">The Canonical Retail Data Model (CRDM) is the normalization layer that makes the gLog universal. POS systems emit events in proprietary formats — Square's webhook schema differs from Clover's, which differs from Toast's. The CRDM maps all proprietary event schemas into a canonical representation that the protocol pipeline can process uniformly.</w:t>
      </w:r>
    </w:p>
    <w:p>
      <w:pPr>
        <w:spacing w:after="80"/>
      </w:pPr>
    </w:p>
    <w:p>
      <w:pPr>
        <w:spacing w:after="120"/>
      </w:pPr>
      <w:r>
        <w:rPr>
          <w:rFonts w:ascii="Arial" w:cs="Arial" w:eastAsia="Arial" w:hAnsi="Arial"/>
          <w:b w:val="false"/>
          <w:bCs w:val="false"/>
          <w:i w:val="false"/>
          <w:iCs w:val="false"/>
          <w:color w:val="FFFFFF"/>
          <w:sz w:val="22"/>
          <w:szCs w:val="22"/>
        </w:rPr>
        <w:t xml:space="preserve">The CRDM does not interpret events. It normalizes them. A payment event from Square and a payment event from Clover both produce the same canonical representation: merchant ID, timestamp, amount, line items, payment method, and associated metadata. The canonical representation is what gets hashed, sealed, and inscribed. The original proprietary payload is preserved in the evidence store (Sub 1) as the legal witness.</w:t>
      </w:r>
    </w:p>
    <w:p>
      <w:pPr>
        <w:spacing w:after="80"/>
      </w:pPr>
    </w:p>
    <w:p>
      <w:pPr>
        <w:spacing w:after="120"/>
      </w:pPr>
      <w:r>
        <w:rPr>
          <w:rFonts w:ascii="Arial" w:cs="Arial" w:eastAsia="Arial" w:hAnsi="Arial"/>
          <w:b w:val="false"/>
          <w:bCs w:val="false"/>
          <w:i w:val="false"/>
          <w:iCs w:val="false"/>
          <w:color w:val="FFFFFF"/>
          <w:sz w:val="22"/>
          <w:szCs w:val="22"/>
        </w:rPr>
        <w:t xml:space="preserve">This design choice — normalize first, process uniformly — is what enables RaaS. Any POS system that can emit a webhook can participate in the protocol. The CRDM is the adapter. The protocol pipeline does not know or care where the event originated. It knows that the event conforms to canonical schema, that the hash is computed, and that the Merkle batch is ready.</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Section 3 — Protocol Architecture</w:t>
      </w:r>
    </w:p>
    <w:p>
      <w:pPr>
        <w:spacing w:after="80"/>
      </w:pPr>
    </w:p>
    <w:p>
      <w:pPr>
        <w:spacing w:after="120" w:before="200"/>
      </w:pPr>
      <w:r>
        <w:rPr>
          <w:rFonts w:ascii="Arial" w:cs="Arial" w:eastAsia="Arial" w:hAnsi="Arial"/>
          <w:b/>
          <w:bCs/>
          <w:color w:val="F59E0B"/>
          <w:sz w:val="24"/>
          <w:szCs w:val="24"/>
        </w:rPr>
        <w:t xml:space="preserve">3.1 Six-Node Architecture</w:t>
      </w:r>
    </w:p>
    <w:p>
      <w:pPr>
        <w:spacing w:after="80"/>
      </w:pPr>
    </w:p>
    <w:p>
      <w:pPr>
        <w:spacing w:after="120"/>
      </w:pPr>
      <w:r>
        <w:rPr>
          <w:rFonts w:ascii="Arial" w:cs="Arial" w:eastAsia="Arial" w:hAnsi="Arial"/>
          <w:b w:val="false"/>
          <w:bCs w:val="false"/>
          <w:i w:val="false"/>
          <w:iCs w:val="false"/>
          <w:color w:val="FFFFFF"/>
          <w:sz w:val="22"/>
          <w:szCs w:val="22"/>
        </w:rPr>
        <w:t xml:space="preserve">The elJeffe protocol is a six-node pipeline where each node is stateless, independently deployable, and connected by a durable message queue (Valkey Streams). The six nodes are:</w:t>
      </w:r>
    </w:p>
    <w:p>
      <w:pPr>
        <w:spacing w:after="80"/>
      </w:pPr>
    </w:p>
    <w:p>
      <w:pPr>
        <w:spacing w:after="120"/>
      </w:pPr>
      <w:r>
        <w:rPr>
          <w:rFonts w:ascii="Arial" w:cs="Arial" w:eastAsia="Arial" w:hAnsi="Arial"/>
          <w:b w:val="false"/>
          <w:bCs w:val="false"/>
          <w:i w:val="false"/>
          <w:iCs w:val="false"/>
          <w:color w:val="FFFFFF"/>
          <w:sz w:val="22"/>
          <w:szCs w:val="22"/>
        </w:rPr>
        <w:t xml:space="preserve">Node 1 (API Gateway): Receives webhook events from external POS systems. Validates OAuth 2.0 authorization scope. Verifies HMAC-SHA256 signature integrity. Generates a correlation ID for end-to-end traceability. Publishes the validated event to the Valkey Streams queue. All operations are asynchronous — the POS system receives a 200 OK response within milliseconds.</w:t>
      </w:r>
    </w:p>
    <w:p>
      <w:pPr>
        <w:spacing w:after="80"/>
      </w:pPr>
    </w:p>
    <w:p>
      <w:pPr>
        <w:spacing w:after="120"/>
      </w:pPr>
      <w:r>
        <w:rPr>
          <w:rFonts w:ascii="Arial" w:cs="Arial" w:eastAsia="Arial" w:hAnsi="Arial"/>
          <w:b w:val="false"/>
          <w:bCs w:val="false"/>
          <w:i w:val="false"/>
          <w:iCs w:val="false"/>
          <w:color w:val="FFFFFF"/>
          <w:sz w:val="22"/>
          <w:szCs w:val="22"/>
        </w:rPr>
        <w:t xml:space="preserve">Node 2 (Event Normalizer): Consumes events from the queue. Computes the SHA-256 hash of the raw payload. This hash becomes the permanent identity of the event — it is the value that will ultimately be inscribed on Bitcoin. Publishes (payload + hash + correlation ID) back to the queue for consumption by three independent subscribers.</w:t>
      </w:r>
    </w:p>
    <w:p>
      <w:pPr>
        <w:spacing w:after="80"/>
      </w:pPr>
    </w:p>
    <w:p>
      <w:pPr>
        <w:spacing w:after="120"/>
      </w:pPr>
      <w:r>
        <w:rPr>
          <w:rFonts w:ascii="Arial" w:cs="Arial" w:eastAsia="Arial" w:hAnsi="Arial"/>
          <w:b w:val="false"/>
          <w:bCs w:val="false"/>
          <w:i w:val="false"/>
          <w:iCs w:val="false"/>
          <w:color w:val="FFFFFF"/>
          <w:sz w:val="22"/>
          <w:szCs w:val="22"/>
        </w:rPr>
        <w:t xml:space="preserve">Node 3 (Hash Engine — Subscriber 1): Consumes from the queue. Performs INSERT-only storage of the raw payload and its hash into the evidence store (PostgreSQL, append-only schema with immutability triggers). This is the legal witness. No transformation. No interpretation. The raw event as received, hashed, and sealed. If every other component fails, Sub 1's record is sufficient to reconstruct the truth.</w:t>
      </w:r>
    </w:p>
    <w:p>
      <w:pPr>
        <w:spacing w:after="80"/>
      </w:pPr>
    </w:p>
    <w:p>
      <w:pPr>
        <w:spacing w:after="120"/>
      </w:pPr>
      <w:r>
        <w:rPr>
          <w:rFonts w:ascii="Arial" w:cs="Arial" w:eastAsia="Arial" w:hAnsi="Arial"/>
          <w:b w:val="false"/>
          <w:bCs w:val="false"/>
          <w:i w:val="false"/>
          <w:iCs w:val="false"/>
          <w:color w:val="FFFFFF"/>
          <w:sz w:val="22"/>
          <w:szCs w:val="22"/>
        </w:rPr>
        <w:t xml:space="preserve">Node 4 (Evidence Store — Subscriber 2): Consumes the same event from the queue. Parses the payload according to CRDM canonical schema. Evaluates 26 detection rules (Chirps) against the parsed data. Fires alerts to the merchant's mobile companion (Today's View). Routes evidence to the Fox case management system. This is the business intelligence layer — it makes the data useful. If Sub 2 fails, it can be reindexed from Sub 1's raw evidence without data loss.</w:t>
      </w:r>
    </w:p>
    <w:p>
      <w:pPr>
        <w:spacing w:after="80"/>
      </w:pPr>
    </w:p>
    <w:p>
      <w:pPr>
        <w:spacing w:after="120"/>
      </w:pPr>
      <w:r>
        <w:rPr>
          <w:rFonts w:ascii="Arial" w:cs="Arial" w:eastAsia="Arial" w:hAnsi="Arial"/>
          <w:b w:val="false"/>
          <w:bCs w:val="false"/>
          <w:i w:val="false"/>
          <w:iCs w:val="false"/>
          <w:color w:val="FFFFFF"/>
          <w:sz w:val="22"/>
          <w:szCs w:val="22"/>
        </w:rPr>
        <w:t xml:space="preserve">Node 5 (Merkle Batcher — Subscriber 3): Consumes hashes from the queue. Accumulates them in a buffer. Periodically (configurable: every 10 minutes, hourly, or daily depending on merchant tier) constructs a Merkle tree from accumulated hashes. Computes the Merkle root — a single 32-byte value that cryptographically represents every event since the last batch.</w:t>
      </w:r>
    </w:p>
    <w:p>
      <w:pPr>
        <w:spacing w:after="80"/>
      </w:pPr>
    </w:p>
    <w:p>
      <w:pPr>
        <w:spacing w:after="120"/>
      </w:pPr>
      <w:r>
        <w:rPr>
          <w:rFonts w:ascii="Arial" w:cs="Arial" w:eastAsia="Arial" w:hAnsi="Arial"/>
          <w:b w:val="false"/>
          <w:bCs w:val="false"/>
          <w:i w:val="false"/>
          <w:iCs w:val="false"/>
          <w:color w:val="FFFFFF"/>
          <w:sz w:val="22"/>
          <w:szCs w:val="22"/>
        </w:rPr>
        <w:t xml:space="preserve">Node 6 (Ordinal Inscriber): Consumes the Merkle root from Node 5. Calls the OrdinalsBot API to inscribe the root as a Bitcoin Ordinal on mainnet. Returns the inscription ID, block height, and transaction ID. This is the permanent anchor — the 32 bytes that prove every event in the batch occurred, verifiable by anyone who can query the Bitcoin blockchain.</w:t>
      </w:r>
    </w:p>
    <w:p>
      <w:pPr>
        <w:spacing w:after="80"/>
      </w:pPr>
    </w:p>
    <w:p>
      <w:pPr>
        <w:spacing w:after="120" w:before="200"/>
      </w:pPr>
      <w:r>
        <w:rPr>
          <w:rFonts w:ascii="Arial" w:cs="Arial" w:eastAsia="Arial" w:hAnsi="Arial"/>
          <w:b/>
          <w:bCs/>
          <w:color w:val="F59E0B"/>
          <w:sz w:val="24"/>
          <w:szCs w:val="24"/>
        </w:rPr>
        <w:t xml:space="preserve">3.2 The Triple Subscriber Pipeline (TSP)</w:t>
      </w:r>
    </w:p>
    <w:p>
      <w:pPr>
        <w:spacing w:after="80"/>
      </w:pPr>
    </w:p>
    <w:p>
      <w:pPr>
        <w:spacing w:after="120"/>
      </w:pPr>
      <w:r>
        <w:rPr>
          <w:rFonts w:ascii="Arial" w:cs="Arial" w:eastAsia="Arial" w:hAnsi="Arial"/>
          <w:b w:val="false"/>
          <w:bCs w:val="false"/>
          <w:i w:val="false"/>
          <w:iCs w:val="false"/>
          <w:color w:val="FFFFFF"/>
          <w:sz w:val="22"/>
          <w:szCs w:val="22"/>
        </w:rPr>
        <w:t xml:space="preserve">The three subscribers (Nodes 3, 4, and 5) are competing consumers on the same Valkey Streams queue. They process the same event in parallel, performing three orthogonal functions:</w:t>
      </w:r>
    </w:p>
    <w:p>
      <w:pPr>
        <w:spacing w:after="80"/>
      </w:pPr>
    </w:p>
    <w:p>
      <w:pPr>
        <w:spacing w:after="120"/>
      </w:pPr>
      <w:r>
        <w:rPr>
          <w:rFonts w:ascii="Arial" w:cs="Arial" w:eastAsia="Arial" w:hAnsi="Arial"/>
          <w:b w:val="false"/>
          <w:bCs w:val="false"/>
          <w:i w:val="false"/>
          <w:iCs w:val="false"/>
          <w:color w:val="FFFFFF"/>
          <w:sz w:val="22"/>
          <w:szCs w:val="22"/>
        </w:rPr>
        <w:t xml:space="preserve">Sub 1 seals the legal witness (raw truth, hash chain, append-only evidence). Sub 2 makes data useful (parsed schema, detection rules, alerts, case routing). Sub 3 anchors to Bitcoin (Merkle batching, Ordinal inscription, permanent settlement).</w:t>
      </w:r>
    </w:p>
    <w:p>
      <w:pPr>
        <w:spacing w:after="80"/>
      </w:pPr>
    </w:p>
    <w:p>
      <w:pPr>
        <w:spacing w:after="120"/>
      </w:pPr>
      <w:r>
        <w:rPr>
          <w:rFonts w:ascii="Arial" w:cs="Arial" w:eastAsia="Arial" w:hAnsi="Arial"/>
          <w:b w:val="false"/>
          <w:bCs w:val="false"/>
          <w:i w:val="false"/>
          <w:iCs w:val="false"/>
          <w:color w:val="FFFFFF"/>
          <w:sz w:val="22"/>
          <w:szCs w:val="22"/>
        </w:rPr>
        <w:t xml:space="preserve">This separation is not merely architectural — it is jurisdictional. Sub 1's output is the evidence an attorney presents in court. Sub 2's output is the dashboard a merchant sees on their phone. Sub 3's output is the proof that both are anchored to a record no one controls. Each serves a different audience (legal, operational, cryptographic) and operates independently.</w:t>
      </w:r>
    </w:p>
    <w:p>
      <w:pPr>
        <w:spacing w:after="80"/>
      </w:pPr>
    </w:p>
    <w:p>
      <w:pPr>
        <w:spacing w:after="120"/>
      </w:pPr>
      <w:r>
        <w:rPr>
          <w:rFonts w:ascii="Arial" w:cs="Arial" w:eastAsia="Arial" w:hAnsi="Arial"/>
          <w:b w:val="false"/>
          <w:bCs w:val="false"/>
          <w:i w:val="false"/>
          <w:iCs w:val="false"/>
          <w:color w:val="FFFFFF"/>
          <w:sz w:val="22"/>
          <w:szCs w:val="22"/>
        </w:rPr>
        <w:t xml:space="preserve">The TSP's resilience guarantee: if any single subscriber fails, the other two continue to function. Sub 2 can crash without losing evidence (Sub 1 holds the raw record). Sub 3 can be delayed by Bitcoin fee spikes without affecting merchant operations (Sub 2 has already fired alerts). The protocol degrades gracefully because no single subscriber is on the critical path for all functions.</w:t>
      </w:r>
    </w:p>
    <w:p>
      <w:pPr>
        <w:spacing w:after="80"/>
      </w:pPr>
    </w:p>
    <w:p>
      <w:pPr>
        <w:spacing w:after="120" w:before="200"/>
      </w:pPr>
      <w:r>
        <w:rPr>
          <w:rFonts w:ascii="Arial" w:cs="Arial" w:eastAsia="Arial" w:hAnsi="Arial"/>
          <w:b/>
          <w:bCs/>
          <w:color w:val="F59E0B"/>
          <w:sz w:val="24"/>
          <w:szCs w:val="24"/>
        </w:rPr>
        <w:t xml:space="preserve">3.3 The Protocol Pipe</w:t>
      </w:r>
    </w:p>
    <w:p>
      <w:pPr>
        <w:spacing w:after="80"/>
      </w:pPr>
    </w:p>
    <w:p>
      <w:pPr>
        <w:spacing w:after="120"/>
      </w:pPr>
      <w:r>
        <w:rPr>
          <w:rFonts w:ascii="Arial" w:cs="Arial" w:eastAsia="Arial" w:hAnsi="Arial"/>
          <w:b w:val="false"/>
          <w:bCs w:val="false"/>
          <w:i w:val="false"/>
          <w:iCs w:val="false"/>
          <w:color w:val="FFFFFF"/>
          <w:sz w:val="22"/>
          <w:szCs w:val="22"/>
        </w:rPr>
        <w:t xml:space="preserve">The complete end-to-end flow — from a Square merchant processing a transaction to a Bitcoin inscription — is the Protocol Pipe. It is the integration test of the entire system:</w:t>
      </w:r>
    </w:p>
    <w:p>
      <w:pPr>
        <w:spacing w:after="80"/>
      </w:pPr>
    </w:p>
    <w:p>
      <w:pPr>
        <w:spacing w:after="120"/>
      </w:pPr>
      <w:r>
        <w:rPr>
          <w:rFonts w:ascii="Arial" w:cs="Arial" w:eastAsia="Arial" w:hAnsi="Arial"/>
          <w:b w:val="false"/>
          <w:bCs w:val="false"/>
          <w:i w:val="false"/>
          <w:iCs w:val="false"/>
          <w:color w:val="FFFFFF"/>
          <w:sz w:val="22"/>
          <w:szCs w:val="22"/>
        </w:rPr>
        <w:t xml:space="preserve">A merchant processes a transaction. Square fires a webhook to the elJeffe API Gateway. Node 1 validates OAuth scope and HMAC signature. Node 2 computes the SHA-256 hash. Sub 1 seals the evidence in milliseconds. Sub 2 parses the event, evaluates 26 Chirp rules, and fires an alert to the merchant's phone. Sub 3 batches the hash. When the batch is full or the timer expires, Node 5 builds the Merkle tree, computes the root, and Node 6 inscribes it on Bitcoin.</w:t>
      </w:r>
    </w:p>
    <w:p>
      <w:pPr>
        <w:spacing w:after="80"/>
      </w:pPr>
    </w:p>
    <w:p>
      <w:pPr>
        <w:spacing w:after="120"/>
      </w:pPr>
      <w:r>
        <w:rPr>
          <w:rFonts w:ascii="Arial" w:cs="Arial" w:eastAsia="Arial" w:hAnsi="Arial"/>
          <w:b w:val="false"/>
          <w:bCs w:val="false"/>
          <w:i w:val="false"/>
          <w:iCs w:val="false"/>
          <w:color w:val="FFFFFF"/>
          <w:sz w:val="22"/>
          <w:szCs w:val="22"/>
        </w:rPr>
        <w:t xml:space="preserve">Total latency: sub-second for merchant-visible operations (Chirp alert, Today's View update). Approximately 10 minutes for Bitcoin confirmation (one block). The merchant does not wait for Bitcoin. They see their alert instantly. The Bitcoin inscription is a background operation that provides permanent, independently verifiable proof.</w:t>
      </w:r>
    </w:p>
    <w:p>
      <w:pPr>
        <w:spacing w:after="80"/>
      </w:pPr>
    </w:p>
    <w:p>
      <w:pPr>
        <w:spacing w:after="120"/>
      </w:pPr>
      <w:r>
        <w:rPr>
          <w:rFonts w:ascii="Arial" w:cs="Arial" w:eastAsia="Arial" w:hAnsi="Arial"/>
          <w:b w:val="false"/>
          <w:bCs w:val="false"/>
          <w:i w:val="false"/>
          <w:iCs w:val="false"/>
          <w:color w:val="FFFFFF"/>
          <w:sz w:val="22"/>
          <w:szCs w:val="22"/>
        </w:rPr>
        <w:t xml:space="preserve">As of Sprint 5 baseline (February 2026), all six nodes are built. Twenty-six real Square webhooks have been processed through the pipeline. All returned 200 OK. Sprint 6 targets the first production heartbeat: a real merchant event sealed, inscribed, and receipted on Bitcoin.</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Section 4 — Hybrid Chain Design</w:t>
      </w:r>
    </w:p>
    <w:p>
      <w:pPr>
        <w:spacing w:after="80"/>
      </w:pPr>
    </w:p>
    <w:p>
      <w:pPr>
        <w:spacing w:after="120" w:before="200"/>
      </w:pPr>
      <w:r>
        <w:rPr>
          <w:rFonts w:ascii="Arial" w:cs="Arial" w:eastAsia="Arial" w:hAnsi="Arial"/>
          <w:b/>
          <w:bCs/>
          <w:color w:val="F59E0B"/>
          <w:sz w:val="24"/>
          <w:szCs w:val="24"/>
        </w:rPr>
        <w:t xml:space="preserve">4.1 The Latency-Permanence Tradeoff</w:t>
      </w:r>
    </w:p>
    <w:p>
      <w:pPr>
        <w:spacing w:after="80"/>
      </w:pPr>
    </w:p>
    <w:p>
      <w:pPr>
        <w:spacing w:after="120"/>
      </w:pPr>
      <w:r>
        <w:rPr>
          <w:rFonts w:ascii="Arial" w:cs="Arial" w:eastAsia="Arial" w:hAnsi="Arial"/>
          <w:b w:val="false"/>
          <w:bCs w:val="false"/>
          <w:i w:val="false"/>
          <w:iCs w:val="false"/>
          <w:color w:val="FFFFFF"/>
          <w:sz w:val="22"/>
          <w:szCs w:val="22"/>
        </w:rPr>
        <w:t xml:space="preserve">The six-node architecture described in Section 3 anchors events to Bitcoin with approximately 10-minute finality (one block confirmation). For loss prevention and audit purposes, this is sufficient — no investigation operates on a 10-minute clock. But for merchant experience, it is not. Merchants need instant confirmation that their transaction was recorded and their receipt is valid. They need sub-second feedback.</w:t>
      </w:r>
    </w:p>
    <w:p>
      <w:pPr>
        <w:spacing w:after="80"/>
      </w:pPr>
    </w:p>
    <w:p>
      <w:pPr>
        <w:spacing w:after="120"/>
      </w:pPr>
      <w:r>
        <w:rPr>
          <w:rFonts w:ascii="Arial" w:cs="Arial" w:eastAsia="Arial" w:hAnsi="Arial"/>
          <w:b w:val="false"/>
          <w:bCs w:val="false"/>
          <w:i w:val="false"/>
          <w:iCs w:val="false"/>
          <w:color w:val="FFFFFF"/>
          <w:sz w:val="22"/>
          <w:szCs w:val="22"/>
        </w:rPr>
        <w:t xml:space="preserve">Bitcoin's proof-of-work consensus produces blocks every ~10 minutes by design. This interval cannot be reduced without compromising the security model that makes Bitcoin permanent in the first place. Any protocol that requires both permanence and speed faces an irreducible tension: the chain that provides permanence cannot provide speed, and the chain that provides speed cannot provide permanence.</w:t>
      </w:r>
    </w:p>
    <w:p>
      <w:pPr>
        <w:spacing w:after="80"/>
      </w:pPr>
    </w:p>
    <w:p>
      <w:pPr>
        <w:spacing w:after="120" w:before="200"/>
      </w:pPr>
      <w:r>
        <w:rPr>
          <w:rFonts w:ascii="Arial" w:cs="Arial" w:eastAsia="Arial" w:hAnsi="Arial"/>
          <w:b/>
          <w:bCs/>
          <w:color w:val="F59E0B"/>
          <w:sz w:val="24"/>
          <w:szCs w:val="24"/>
        </w:rPr>
        <w:t xml:space="preserve">4.2 The Hybrid Architecture</w:t>
      </w:r>
    </w:p>
    <w:p>
      <w:pPr>
        <w:spacing w:after="80"/>
      </w:pPr>
    </w:p>
    <w:p>
      <w:pPr>
        <w:spacing w:after="120"/>
      </w:pPr>
      <w:r>
        <w:rPr>
          <w:rFonts w:ascii="Arial" w:cs="Arial" w:eastAsia="Arial" w:hAnsi="Arial"/>
          <w:b w:val="false"/>
          <w:bCs w:val="false"/>
          <w:i w:val="false"/>
          <w:iCs w:val="false"/>
          <w:color w:val="FFFFFF"/>
          <w:sz w:val="22"/>
          <w:szCs w:val="22"/>
        </w:rPr>
        <w:t xml:space="preserve">The elJeffe hybrid chain architecture resolves this tension by operating across two complementary layers:</w:t>
      </w:r>
    </w:p>
    <w:p>
      <w:pPr>
        <w:spacing w:after="80"/>
      </w:pPr>
    </w:p>
    <w:p>
      <w:pPr>
        <w:spacing w:after="120"/>
      </w:pPr>
      <w:r>
        <w:rPr>
          <w:rFonts w:ascii="Arial" w:cs="Arial" w:eastAsia="Arial" w:hAnsi="Arial"/>
          <w:b w:val="false"/>
          <w:bCs w:val="false"/>
          <w:i w:val="false"/>
          <w:iCs w:val="false"/>
          <w:color w:val="FFFFFF"/>
          <w:sz w:val="22"/>
          <w:szCs w:val="22"/>
        </w:rPr>
        <w:t xml:space="preserve">Avalanche (The Execution Layer): A private subnet on the Avalanche network provides sub-second receipt finality. Every merchant event processed through the TSP is minted as an on-chain receipt on Avalanche. The merchant receives instant confirmation. Receipts are queryable, searchable, and verifiable against the Avalanche chain in real time. Cost: approximately $0.001 per event on a private subnet.</w:t>
      </w:r>
    </w:p>
    <w:p>
      <w:pPr>
        <w:spacing w:after="80"/>
      </w:pPr>
    </w:p>
    <w:p>
      <w:pPr>
        <w:spacing w:after="120"/>
      </w:pPr>
      <w:r>
        <w:rPr>
          <w:rFonts w:ascii="Arial" w:cs="Arial" w:eastAsia="Arial" w:hAnsi="Arial"/>
          <w:b w:val="false"/>
          <w:bCs w:val="false"/>
          <w:i w:val="false"/>
          <w:iCs w:val="false"/>
          <w:color w:val="FFFFFF"/>
          <w:sz w:val="22"/>
          <w:szCs w:val="22"/>
        </w:rPr>
        <w:t xml:space="preserve">Bitcoin (The Settlement Layer): Periodically (daily, hourly, or per-block depending on merchant tier), all Avalanche receipts since the last anchor are aggregated into a Merkle tree. The root is inscribed on Bitcoin as an Ordinal. The inscription is permanent — proof-of-work immutability. Every individual receipt can be independently verified against the Bitcoin anchor via its Merkle proof path.</w:t>
      </w:r>
    </w:p>
    <w:p>
      <w:pPr>
        <w:spacing w:after="80"/>
      </w:pPr>
    </w:p>
    <w:p>
      <w:pPr>
        <w:spacing w:after="120"/>
      </w:pPr>
      <w:r>
        <w:rPr>
          <w:rFonts w:ascii="Arial" w:cs="Arial" w:eastAsia="Arial" w:hAnsi="Arial"/>
          <w:b w:val="false"/>
          <w:bCs w:val="false"/>
          <w:i w:val="false"/>
          <w:iCs w:val="false"/>
          <w:color w:val="FFFFFF"/>
          <w:sz w:val="22"/>
          <w:szCs w:val="22"/>
        </w:rPr>
        <w:t xml:space="preserve">The architecture is symbiotic, not redundant. Bitcoin provides permanence that Avalanche cannot guarantee (Avalanche depends on active validators; Bitcoin depends on proof-of-work). Avalanche provides speed that Bitcoin cannot deliver (sub-second vs. 10 minutes). Neither chain is sufficient alone. Together, they deliver both guarantees simultaneously.</w:t>
      </w:r>
    </w:p>
    <w:p>
      <w:pPr>
        <w:spacing w:after="80"/>
      </w:pPr>
    </w:p>
    <w:p>
      <w:pPr>
        <w:spacing w:after="120" w:before="200"/>
      </w:pPr>
      <w:r>
        <w:rPr>
          <w:rFonts w:ascii="Arial" w:cs="Arial" w:eastAsia="Arial" w:hAnsi="Arial"/>
          <w:b/>
          <w:bCs/>
          <w:color w:val="F59E0B"/>
          <w:sz w:val="24"/>
          <w:szCs w:val="24"/>
        </w:rPr>
        <w:t xml:space="preserve">4.3 Economic Viability of the Hybrid Model</w:t>
      </w:r>
    </w:p>
    <w:p>
      <w:pPr>
        <w:spacing w:after="80"/>
      </w:pPr>
    </w:p>
    <w:p>
      <w:pPr>
        <w:spacing w:after="120"/>
      </w:pPr>
      <w:r>
        <w:rPr>
          <w:rFonts w:ascii="Arial" w:cs="Arial" w:eastAsia="Arial" w:hAnsi="Arial"/>
          <w:b w:val="false"/>
          <w:bCs w:val="false"/>
          <w:i w:val="false"/>
          <w:iCs w:val="false"/>
          <w:color w:val="FFFFFF"/>
          <w:sz w:val="22"/>
          <w:szCs w:val="22"/>
        </w:rPr>
        <w:t xml:space="preserve">The hybrid architecture is not merely an engineering preference — it is an economic necessity. Pure Bitcoin inscription at per-event granularity is nonviable at any merchant scale: a single merchant generating 200 transactions per day would incur $124,100 per year in inscription fees at medium Bitcoin fee rates (10 sat/vB). Even with global daily batching (one inscription per day for all merchants combined), the Bitcoin anchor costs only $621 per year regardless of merchant count — but imposes a 24-hour finality delay that the product cannot tolerate.</w:t>
      </w:r>
    </w:p>
    <w:p>
      <w:pPr>
        <w:spacing w:after="80"/>
      </w:pPr>
    </w:p>
    <w:p>
      <w:pPr>
        <w:spacing w:after="120"/>
      </w:pPr>
      <w:r>
        <w:rPr>
          <w:rFonts w:ascii="Arial" w:cs="Arial" w:eastAsia="Arial" w:hAnsi="Arial"/>
          <w:b w:val="false"/>
          <w:bCs w:val="false"/>
          <w:i w:val="false"/>
          <w:iCs w:val="false"/>
          <w:color w:val="FFFFFF"/>
          <w:sz w:val="22"/>
          <w:szCs w:val="22"/>
        </w:rPr>
        <w:t xml:space="preserve">The hybrid model resolves this: Avalanche handles real-time receipt creation at $0.001 per event (approximately $73 per merchant per year on a private subnet), while Bitcoin provides daily settlement at $621 per year total. At 1,000 merchants, the combined annual chain cost is approximately $83,600 against subscription revenue of $468,000 (at the $39/month tier) — delivering 82% gross margin.</w:t>
      </w:r>
    </w:p>
    <w:p>
      <w:pPr>
        <w:spacing w:after="80"/>
      </w:pPr>
    </w:p>
    <w:p>
      <w:pPr>
        <w:spacing w:after="120"/>
      </w:pPr>
      <w:r>
        <w:rPr>
          <w:rFonts w:ascii="Arial" w:cs="Arial" w:eastAsia="Arial" w:hAnsi="Arial"/>
          <w:b w:val="false"/>
          <w:bCs w:val="false"/>
          <w:i w:val="false"/>
          <w:iCs w:val="false"/>
          <w:color w:val="FFFFFF"/>
          <w:sz w:val="22"/>
          <w:szCs w:val="22"/>
        </w:rPr>
        <w:t xml:space="preserve">The private Avalanche subnet breaks even against the shared Avalanche C-Chain at approximately 35 merchants, where the 5x per-transaction cost reduction ($0.001 vs. $0.005) exceeds the fixed annual validator cost of $10,000. Post-Avalanche9000 (December 2024), the 2,000 AVAX staking requirement for subnet validators was eliminated, reducing the capital barrier from ~$20,000 to minimal AVAX exposure.</w:t>
      </w:r>
    </w:p>
    <w:p>
      <w:pPr>
        <w:spacing w:after="80"/>
      </w:pPr>
    </w:p>
    <w:p>
      <w:pPr>
        <w:spacing w:after="120" w:before="200"/>
      </w:pPr>
      <w:r>
        <w:rPr>
          <w:rFonts w:ascii="Arial" w:cs="Arial" w:eastAsia="Arial" w:hAnsi="Arial"/>
          <w:b/>
          <w:bCs/>
          <w:color w:val="F59E0B"/>
          <w:sz w:val="24"/>
          <w:szCs w:val="24"/>
        </w:rPr>
        <w:t xml:space="preserve">4.4 The Fee Window</w:t>
      </w:r>
    </w:p>
    <w:p>
      <w:pPr>
        <w:spacing w:after="80"/>
      </w:pPr>
    </w:p>
    <w:p>
      <w:pPr>
        <w:spacing w:after="120"/>
      </w:pPr>
      <w:r>
        <w:rPr>
          <w:rFonts w:ascii="Arial" w:cs="Arial" w:eastAsia="Arial" w:hAnsi="Arial"/>
          <w:b w:val="false"/>
          <w:bCs w:val="false"/>
          <w:i w:val="false"/>
          <w:iCs w:val="false"/>
          <w:color w:val="FFFFFF"/>
          <w:sz w:val="22"/>
          <w:szCs w:val="22"/>
        </w:rPr>
        <w:t xml:space="preserve">Three independent escalation drivers are converging to close the current low-fee window on Bitcoin L1:</w:t>
      </w:r>
    </w:p>
    <w:p>
      <w:pPr>
        <w:spacing w:after="80"/>
      </w:pPr>
    </w:p>
    <w:p>
      <w:pPr>
        <w:spacing w:after="120"/>
      </w:pPr>
      <w:r>
        <w:rPr>
          <w:rFonts w:ascii="Arial" w:cs="Arial" w:eastAsia="Arial" w:hAnsi="Arial"/>
          <w:b w:val="false"/>
          <w:bCs w:val="false"/>
          <w:i w:val="false"/>
          <w:iCs w:val="false"/>
          <w:color w:val="FFFFFF"/>
          <w:sz w:val="22"/>
          <w:szCs w:val="22"/>
        </w:rPr>
        <w:t xml:space="preserve">The halving cycle. Bitcoin's block reward halves every four years. The next halving (2028) reduces miner subsidy by 50%, forcing miners to shift revenue reliance toward transaction fees. The fee floor rises structurally.</w:t>
      </w:r>
    </w:p>
    <w:p>
      <w:pPr>
        <w:spacing w:after="80"/>
      </w:pPr>
    </w:p>
    <w:p>
      <w:pPr>
        <w:spacing w:after="120"/>
      </w:pPr>
      <w:r>
        <w:rPr>
          <w:rFonts w:ascii="Arial" w:cs="Arial" w:eastAsia="Arial" w:hAnsi="Arial"/>
          <w:b w:val="false"/>
          <w:bCs w:val="false"/>
          <w:i w:val="false"/>
          <w:iCs w:val="false"/>
          <w:color w:val="FFFFFF"/>
          <w:sz w:val="22"/>
          <w:szCs w:val="22"/>
        </w:rPr>
        <w:t xml:space="preserve">Adoption demand. Layer 2 protocols, DeFi applications, and inscription demand compete for Bitcoin's limited block space (~4 MB per block, ~7 transactions per second). As adoption grows, the mempool fills and fees rise.</w:t>
      </w:r>
    </w:p>
    <w:p>
      <w:pPr>
        <w:spacing w:after="80"/>
      </w:pPr>
    </w:p>
    <w:p>
      <w:pPr>
        <w:spacing w:after="120"/>
      </w:pPr>
      <w:r>
        <w:rPr>
          <w:rFonts w:ascii="Arial" w:cs="Arial" w:eastAsia="Arial" w:hAnsi="Arial"/>
          <w:b w:val="false"/>
          <w:bCs w:val="false"/>
          <w:i w:val="false"/>
          <w:iCs w:val="false"/>
          <w:color w:val="FFFFFF"/>
          <w:sz w:val="22"/>
          <w:szCs w:val="22"/>
        </w:rPr>
        <w:t xml:space="preserve">Inscription competition. The Ordinals ecosystem is growing. More entities discovering inscription-based applications means more transactions competing for the same block space.</w:t>
      </w:r>
    </w:p>
    <w:p>
      <w:pPr>
        <w:spacing w:after="80"/>
      </w:pPr>
    </w:p>
    <w:p>
      <w:pPr>
        <w:spacing w:after="120"/>
      </w:pPr>
      <w:r>
        <w:rPr>
          <w:rFonts w:ascii="Arial" w:cs="Arial" w:eastAsia="Arial" w:hAnsi="Arial"/>
          <w:b w:val="false"/>
          <w:bCs w:val="false"/>
          <w:i w:val="false"/>
          <w:iCs w:val="false"/>
          <w:color w:val="FFFFFF"/>
          <w:sz w:val="22"/>
          <w:szCs w:val="22"/>
        </w:rPr>
        <w:t xml:space="preserve">At 50–100 sat/vB sustained fees (realistic within 12–24 months), the cost of per-event inscription becomes prohibitive for all but the highest-value, lowest-frequency use cases. The entity that has already inscribed a canonical record pool during the current 1–3 sat/vB window holds a permanent cost advantage. That record pool exists. The block space that carried those inscriptions has been mined and is gone. A competitor entering the market after the window closes faces structurally higher inscription costs — not because of GrowDirect's pricing, but because of Bitcoin's fee market physics.</w:t>
      </w:r>
    </w:p>
    <w:p>
      <w:pPr>
        <w:spacing w:after="80"/>
      </w:pPr>
    </w:p>
    <w:p>
      <w:pPr>
        <w:spacing w:after="120" w:before="200"/>
      </w:pPr>
      <w:r>
        <w:rPr>
          <w:rFonts w:ascii="Arial" w:cs="Arial" w:eastAsia="Arial" w:hAnsi="Arial"/>
          <w:b/>
          <w:bCs/>
          <w:color w:val="F59E0B"/>
          <w:sz w:val="24"/>
          <w:szCs w:val="24"/>
        </w:rPr>
        <w:t xml:space="preserve">4.5 Genesis Pool as Network Asset</w:t>
      </w:r>
    </w:p>
    <w:p>
      <w:pPr>
        <w:spacing w:after="80"/>
      </w:pPr>
    </w:p>
    <w:p>
      <w:pPr>
        <w:spacing w:after="120"/>
      </w:pPr>
      <w:r>
        <w:rPr>
          <w:rFonts w:ascii="Arial" w:cs="Arial" w:eastAsia="Arial" w:hAnsi="Arial"/>
          <w:b w:val="false"/>
          <w:bCs w:val="false"/>
          <w:i w:val="false"/>
          <w:iCs w:val="false"/>
          <w:color w:val="FFFFFF"/>
          <w:sz w:val="22"/>
          <w:szCs w:val="22"/>
        </w:rPr>
        <w:t xml:space="preserve">The Genesis Pool — 0.1 BTC (10,000,000 satoshis) derived from an original F2Pool mining reward — funds the protocol's inscription operations. Under the hybrid model with stacked reinscription (append-only Merkle roots on a single satoshi per merchant), the pool funds 1,000 merchant gLog activations (2,000,000 sats), 13.7 years of daily global Bitcoin anchoring (5,000,000 sats at medium fee rates), and a 30% reserve for fee volatility (3,000,000 sats).</w:t>
      </w:r>
    </w:p>
    <w:p>
      <w:pPr>
        <w:spacing w:after="80"/>
      </w:pPr>
    </w:p>
    <w:p>
      <w:pPr>
        <w:spacing w:after="120"/>
      </w:pPr>
      <w:r>
        <w:rPr>
          <w:rFonts w:ascii="Arial" w:cs="Arial" w:eastAsia="Arial" w:hAnsi="Arial"/>
          <w:b w:val="false"/>
          <w:bCs w:val="false"/>
          <w:i w:val="false"/>
          <w:iCs w:val="false"/>
          <w:color w:val="FFFFFF"/>
          <w:sz w:val="22"/>
          <w:szCs w:val="22"/>
        </w:rPr>
        <w:t xml:space="preserve">The pool's value is not its Bitcoin price. Under Metcalfe's Law (V ∝ n²), the pool's network value grows quadratically with the number of merchants, inscriptions, validation requests, and namespace registrations it anchors. At 50 merchants (approximately month 9), the network valuation crosses above the static BTC valuation. At 350 merchants (month 18), the network valuation exceeds the static BTC valuation by approximately 69x. The pool is not a holding. It is the substrate of a network whose value compounds with every participant.</w:t>
      </w:r>
    </w:p>
    <w:p>
      <w:pPr>
        <w:spacing w:after="80"/>
      </w:pPr>
    </w:p>
    <w:p>
      <w:pPr>
        <w:spacing w:after="120"/>
      </w:pPr>
      <w:r>
        <w:rPr>
          <w:rFonts w:ascii="Arial" w:cs="Arial" w:eastAsia="Arial" w:hAnsi="Arial"/>
          <w:b w:val="false"/>
          <w:bCs w:val="false"/>
          <w:i w:val="false"/>
          <w:iCs w:val="false"/>
          <w:color w:val="FFFFFF"/>
          <w:sz w:val="22"/>
          <w:szCs w:val="22"/>
        </w:rPr>
        <w:t xml:space="preserve">The protocol reaches self-sufficiency at approximately 17 merchants — a convergence point where the Genesis Pool becomes permanently self-replenishing, historical validation revenue covers ongoing infrastructure costs, and the DAO treasury allocation exceeds marginal chain cost per merchant by more than 3x. This number is robust: sensitivity analysis across BTC price swings (±50%), fee rate changes (±100%), and subscription price variations (±25%) yields a convergence range of 12–24 merchants, with 17 as the central tendency.</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Continuation Notice</w:t>
      </w:r>
    </w:p>
    <w:p>
      <w:pPr>
        <w:spacing w:after="80"/>
      </w:pPr>
    </w:p>
    <w:p>
      <w:pPr>
        <w:spacing w:after="120"/>
      </w:pPr>
      <w:r>
        <w:rPr>
          <w:rFonts w:ascii="Arial" w:cs="Arial" w:eastAsia="Arial" w:hAnsi="Arial"/>
          <w:b w:val="false"/>
          <w:bCs w:val="false"/>
          <w:i w:val="false"/>
          <w:iCs w:val="false"/>
          <w:color w:val="FFFFFF"/>
          <w:sz w:val="22"/>
          <w:szCs w:val="22"/>
        </w:rPr>
        <w:t xml:space="preserve">Sections 5–12 are drafted separately per the Research Paper Roadmap (Section C). Section 5 (Economic Model) incorporates the "Why 17" convergence analysis and Metcalfe's Law Genesis Pool model from Tasks 1 and 2 of this work order. Sections 6–10 draw from Manifesto Parts IV–VII. Section 11 (Patent Claims and IP Position) remains BLOCKED until Syd defines disclosure boundaries. Section 12 (Conclusion) will be written after all preceding sections are complete.</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Internal Notes (Not for Publication)</w:t>
      </w:r>
    </w:p>
    <w:p>
      <w:pPr>
        <w:spacing w:after="80"/>
      </w:pPr>
    </w:p>
    <w:p>
      <w:pPr>
        <w:spacing w:after="120" w:before="200"/>
      </w:pPr>
      <w:r>
        <w:rPr>
          <w:rFonts w:ascii="Arial" w:cs="Arial" w:eastAsia="Arial" w:hAnsi="Arial"/>
          <w:b/>
          <w:bCs/>
          <w:color w:val="F59E0B"/>
          <w:sz w:val="24"/>
          <w:szCs w:val="24"/>
        </w:rPr>
        <w:t xml:space="preserve">Sources Referenced in Sections 0–4</w:t>
      </w:r>
    </w:p>
    <w:p>
      <w:pPr>
        <w:spacing w:after="80"/>
      </w:pPr>
    </w:p>
    <w:p>
      <w:pPr>
        <w:spacing w:after="40"/>
      </w:pPr>
      <w:r>
        <w:rPr>
          <w:rFonts w:ascii="Courier New" w:cs="Courier New" w:eastAsia="Courier New" w:hAnsi="Courier New"/>
          <w:color w:val="C9D1D9"/>
          <w:sz w:val="18"/>
          <w:szCs w:val="18"/>
        </w:rPr>
        <w:t xml:space="preserve">|   Source   |   Manifesto Section   |   Used In   |</w:t>
      </w:r>
    </w:p>
    <w:p>
      <w:pPr>
        <w:spacing w:after="120"/>
      </w:pPr>
      <w:r>
        <w:rPr>
          <w:rFonts w:ascii="Arial" w:cs="Arial" w:eastAsia="Arial" w:hAnsi="Arial"/>
          <w:b w:val="false"/>
          <w:bCs w:val="false"/>
          <w:i w:val="false"/>
          <w:iCs w:val="false"/>
          <w:color w:val="FFFFFF"/>
          <w:sz w:val="22"/>
          <w:szCs w:val="22"/>
        </w:rPr>
        <w:t xml:space="preserve">|---|---|---|</w:t>
      </w:r>
    </w:p>
    <w:p>
      <w:pPr>
        <w:spacing w:after="40"/>
      </w:pPr>
      <w:r>
        <w:rPr>
          <w:rFonts w:ascii="Courier New" w:cs="Courier New" w:eastAsia="Courier New" w:hAnsi="Courier New"/>
          <w:color w:val="C9D1D9"/>
          <w:sz w:val="18"/>
          <w:szCs w:val="18"/>
        </w:rPr>
        <w:t xml:space="preserve">|   IBM 4690 tLog architecture   |   I.1   |   Section 1.1, 2.1   |</w:t>
      </w:r>
    </w:p>
    <w:p>
      <w:pPr>
        <w:spacing w:after="40"/>
      </w:pPr>
      <w:r>
        <w:rPr>
          <w:rFonts w:ascii="Courier New" w:cs="Courier New" w:eastAsia="Courier New" w:hAnsi="Courier New"/>
          <w:color w:val="C9D1D9"/>
          <w:sz w:val="18"/>
          <w:szCs w:val="18"/>
        </w:rPr>
        <w:t xml:space="preserve">|   LaneHawk incident   |   I.2   |   Background context (not cited directly — Syd to advise on disclosure)   |</w:t>
      </w:r>
    </w:p>
    <w:p>
      <w:pPr>
        <w:spacing w:after="40"/>
      </w:pPr>
      <w:r>
        <w:rPr>
          <w:rFonts w:ascii="Courier New" w:cs="Courier New" w:eastAsia="Courier New" w:hAnsi="Courier New"/>
          <w:color w:val="C9D1D9"/>
          <w:sz w:val="18"/>
          <w:szCs w:val="18"/>
        </w:rPr>
        <w:t xml:space="preserve">|   Chargebacks911 2024 report   |   External   |   Section 1.2 (chargeback cost figure)   |</w:t>
      </w:r>
    </w:p>
    <w:p>
      <w:pPr>
        <w:spacing w:after="40"/>
      </w:pPr>
      <w:r>
        <w:rPr>
          <w:rFonts w:ascii="Courier New" w:cs="Courier New" w:eastAsia="Courier New" w:hAnsi="Courier New"/>
          <w:color w:val="C9D1D9"/>
          <w:sz w:val="18"/>
          <w:szCs w:val="18"/>
        </w:rPr>
        <w:t xml:space="preserve">|   NRF 2023 Retail Shrink Survey   |   External   |   Section 1.2 (shrink figure)   |</w:t>
      </w:r>
    </w:p>
    <w:p>
      <w:pPr>
        <w:spacing w:after="40"/>
      </w:pPr>
      <w:r>
        <w:rPr>
          <w:rFonts w:ascii="Courier New" w:cs="Courier New" w:eastAsia="Courier New" w:hAnsi="Courier New"/>
          <w:color w:val="C9D1D9"/>
          <w:sz w:val="18"/>
          <w:szCs w:val="18"/>
        </w:rPr>
        <w:t xml:space="preserve">|   Ordinals Protocol (Rodarmor, 2023)   |   V.1   |   Section 1.3   |</w:t>
      </w:r>
    </w:p>
    <w:p>
      <w:pPr>
        <w:spacing w:after="40"/>
      </w:pPr>
      <w:r>
        <w:rPr>
          <w:rFonts w:ascii="Courier New" w:cs="Courier New" w:eastAsia="Courier New" w:hAnsi="Courier New"/>
          <w:color w:val="C9D1D9"/>
          <w:sz w:val="18"/>
          <w:szCs w:val="18"/>
        </w:rPr>
        <w:t xml:space="preserve">|   CRDM specification   |   III.2   |   Section 2.3   |</w:t>
      </w:r>
    </w:p>
    <w:p>
      <w:pPr>
        <w:spacing w:after="40"/>
      </w:pPr>
      <w:r>
        <w:rPr>
          <w:rFonts w:ascii="Courier New" w:cs="Courier New" w:eastAsia="Courier New" w:hAnsi="Courier New"/>
          <w:color w:val="C9D1D9"/>
          <w:sz w:val="18"/>
          <w:szCs w:val="18"/>
        </w:rPr>
        <w:t xml:space="preserve">|   Six-node architecture   |   V.1   |   Section 3.1   |</w:t>
      </w:r>
    </w:p>
    <w:p>
      <w:pPr>
        <w:spacing w:after="40"/>
      </w:pPr>
      <w:r>
        <w:rPr>
          <w:rFonts w:ascii="Courier New" w:cs="Courier New" w:eastAsia="Courier New" w:hAnsi="Courier New"/>
          <w:color w:val="C9D1D9"/>
          <w:sz w:val="18"/>
          <w:szCs w:val="18"/>
        </w:rPr>
        <w:t xml:space="preserve">|   TSP design   |   V.2   |   Section 3.2   |</w:t>
      </w:r>
    </w:p>
    <w:p>
      <w:pPr>
        <w:spacing w:after="40"/>
      </w:pPr>
      <w:r>
        <w:rPr>
          <w:rFonts w:ascii="Courier New" w:cs="Courier New" w:eastAsia="Courier New" w:hAnsi="Courier New"/>
          <w:color w:val="C9D1D9"/>
          <w:sz w:val="18"/>
          <w:szCs w:val="18"/>
        </w:rPr>
        <w:t xml:space="preserve">|   Protocol Pipe   |   V.4   |   Section 3.3   |</w:t>
      </w:r>
    </w:p>
    <w:p>
      <w:pPr>
        <w:spacing w:after="40"/>
      </w:pPr>
      <w:r>
        <w:rPr>
          <w:rFonts w:ascii="Courier New" w:cs="Courier New" w:eastAsia="Courier New" w:hAnsi="Courier New"/>
          <w:color w:val="C9D1D9"/>
          <w:sz w:val="18"/>
          <w:szCs w:val="18"/>
        </w:rPr>
        <w:t xml:space="preserve">|   B-069 Hybrid Chain Economics   |   IV.4   |   Section 4.2, 4.3   |</w:t>
      </w:r>
    </w:p>
    <w:p>
      <w:pPr>
        <w:spacing w:after="40"/>
      </w:pPr>
      <w:r>
        <w:rPr>
          <w:rFonts w:ascii="Courier New" w:cs="Courier New" w:eastAsia="Courier New" w:hAnsi="Courier New"/>
          <w:color w:val="C9D1D9"/>
          <w:sz w:val="18"/>
          <w:szCs w:val="18"/>
        </w:rPr>
        <w:t xml:space="preserve">|   Fee Window analysis   |   VI.3   |   Section 4.4   |</w:t>
      </w:r>
    </w:p>
    <w:p>
      <w:pPr>
        <w:spacing w:after="40"/>
      </w:pPr>
      <w:r>
        <w:rPr>
          <w:rFonts w:ascii="Courier New" w:cs="Courier New" w:eastAsia="Courier New" w:hAnsi="Courier New"/>
          <w:color w:val="C9D1D9"/>
          <w:sz w:val="18"/>
          <w:szCs w:val="18"/>
        </w:rPr>
        <w:t xml:space="preserve">|   Genesis Pool   |   IV.1   |   Section 4.5   |</w:t>
      </w:r>
    </w:p>
    <w:p>
      <w:pPr>
        <w:spacing w:after="40"/>
      </w:pPr>
      <w:r>
        <w:rPr>
          <w:rFonts w:ascii="Courier New" w:cs="Courier New" w:eastAsia="Courier New" w:hAnsi="Courier New"/>
          <w:color w:val="C9D1D9"/>
          <w:sz w:val="18"/>
          <w:szCs w:val="18"/>
        </w:rPr>
        <w:t xml:space="preserve">|   "Why 17" Convergence (Task 1)   |   IV.7   |   Section 0, 4.5   |</w:t>
      </w:r>
    </w:p>
    <w:p>
      <w:pPr>
        <w:spacing w:after="40"/>
      </w:pPr>
      <w:r>
        <w:rPr>
          <w:rFonts w:ascii="Courier New" w:cs="Courier New" w:eastAsia="Courier New" w:hAnsi="Courier New"/>
          <w:color w:val="C9D1D9"/>
          <w:sz w:val="18"/>
          <w:szCs w:val="18"/>
        </w:rPr>
        <w:t xml:space="preserve">|   Metcalfe Genesis Pool (Task 2)   |   IV.1   |   Section 0, 4.5   |</w:t>
      </w:r>
    </w:p>
    <w:p>
      <w:pPr>
        <w:spacing w:after="40"/>
      </w:pPr>
      <w:r>
        <w:rPr>
          <w:rFonts w:ascii="Courier New" w:cs="Courier New" w:eastAsia="Courier New" w:hAnsi="Courier New"/>
          <w:color w:val="C9D1D9"/>
          <w:sz w:val="18"/>
          <w:szCs w:val="18"/>
        </w:rPr>
        <w:t xml:space="preserve">|   RaaS framing (Task 3)   |   IV.3.1   |   Section 0, 1.4   |</w:t>
      </w:r>
    </w:p>
    <w:p>
      <w:pPr>
        <w:spacing w:after="80"/>
      </w:pPr>
    </w:p>
    <w:p>
      <w:pPr>
        <w:spacing w:after="120" w:before="200"/>
      </w:pPr>
      <w:r>
        <w:rPr>
          <w:rFonts w:ascii="Arial" w:cs="Arial" w:eastAsia="Arial" w:hAnsi="Arial"/>
          <w:b/>
          <w:bCs/>
          <w:color w:val="F59E0B"/>
          <w:sz w:val="24"/>
          <w:szCs w:val="24"/>
        </w:rPr>
        <w:t xml:space="preserve">IP Sensitivity Review (for Syd)</w:t>
      </w:r>
    </w:p>
    <w:p>
      <w:pPr>
        <w:spacing w:after="80"/>
      </w:pPr>
    </w:p>
    <w:p>
      <w:pPr>
        <w:spacing w:after="120"/>
      </w:pPr>
      <w:r>
        <w:rPr>
          <w:rFonts w:ascii="Arial" w:cs="Arial" w:eastAsia="Arial" w:hAnsi="Arial"/>
          <w:b w:val="false"/>
          <w:bCs w:val="false"/>
          <w:i w:val="false"/>
          <w:iCs w:val="false"/>
          <w:color w:val="FFFFFF"/>
          <w:sz w:val="22"/>
          <w:szCs w:val="22"/>
        </w:rPr>
        <w:t xml:space="preserve">Sections 0–4 describe:</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The mutable record problem (public knowledge, no IP concern)</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The gLog principle (covered by provisional patent 63/991,596)</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The CRDM (described at concept level, no schema details disclosed)</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The six-node architecture (described at concept level, no code or implementation details)</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The TSP (described at concept level, Claim 1 coverage)</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Hybrid chain design (described at concept level, Claim 7 coverage)</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Fee window economics (public Bitcoin fee data + GrowDirect's interpretation)</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Genesis Pool (described at concept level, Claim 2 coverage)</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Metcalfe's Law application (novel application, not patentable per se)</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"Why 17" convergence (derived analysis, not patentable per se)</w:t>
      </w:r>
    </w:p>
    <w:p>
      <w:pPr>
        <w:spacing w:after="80"/>
      </w:pPr>
    </w:p>
    <w:p>
      <w:pPr>
        <w:spacing w:after="120"/>
      </w:pPr>
      <w:r>
        <w:rPr>
          <w:rFonts w:ascii="Arial" w:cs="Arial" w:eastAsia="Arial" w:hAnsi="Arial"/>
          <w:b w:val="false"/>
          <w:bCs w:val="false"/>
          <w:i w:val="false"/>
          <w:iCs w:val="false"/>
          <w:color w:val="FFFFFF"/>
          <w:sz w:val="22"/>
          <w:szCs w:val="22"/>
        </w:rPr>
        <w:t xml:space="preserve">PhD assessment: Sections 0–4 describe architecture and economics at a level appropriate for investor communication and do not disclose implementation details that would enable a competitor to replicate the system. No patent claim is disclosed in a way that would compromise utility filing. Syd should confirm.</w:t>
      </w:r>
    </w:p>
    <w:p>
      <w:pPr>
        <w:spacing w:after="80"/>
      </w:pPr>
    </w:p>
    <w:p>
      <w:pPr>
        <w:pBdr>
          <w:bottom w:val="single" w:color="30363D" w:sz="2" w:space="8"/>
        </w:pBdr>
        <w:spacing w:after="200" w:before="200"/>
      </w:pPr>
    </w:p>
    <w:p>
      <w:pPr>
        <w:spacing w:after="80"/>
      </w:pPr>
    </w:p>
    <w:p>
      <w:pPr>
        <w:spacing w:after="160" w:before="280"/>
      </w:pPr>
      <w:r>
        <w:rPr>
          <w:rFonts w:ascii="Arial" w:cs="Arial" w:eastAsia="Arial" w:hAnsi="Arial"/>
          <w:b/>
          <w:bCs/>
          <w:color w:val="FFFFFF"/>
          <w:sz w:val="28"/>
          <w:szCs w:val="28"/>
        </w:rPr>
        <w:t xml:space="preserve">Routing</w:t>
      </w:r>
    </w:p>
    <w:p>
      <w:pPr>
        <w:spacing w:after="80"/>
      </w:pP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Syd: IP sensitivity review before any external distribution. Confirm Sections 0–4 are safe.</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Jess: Sections 0–4 will feed investor site copy, War Chest updates, and companion guide revisions.</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Art: Figures referenced in Sections 0–4 (Figs. 1–5) exist as Mermaid diagrams in the Manifesto. Art should prepare publication-quality versions for the paper.</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Jeremy: Validate Section 3 (architecture) and Section 4.3 (economics) against running code.</w:t>
      </w:r>
    </w:p>
    <w:p>
      <w:pPr>
        <w:spacing w:after="80"/>
        <w:ind w:left="360"/>
      </w:pPr>
      <w:r>
        <w:rPr>
          <w:rFonts w:ascii="Arial" w:cs="Arial" w:eastAsia="Arial" w:hAnsi="Arial"/>
          <w:color w:val="F59E0B"/>
          <w:sz w:val="22"/>
          <w:szCs w:val="22"/>
        </w:rPr>
        <w:t xml:space="preserve">•  </w:t>
      </w:r>
      <w:r>
        <w:rPr>
          <w:rFonts w:ascii="Arial" w:cs="Arial" w:eastAsia="Arial" w:hAnsi="Arial"/>
          <w:color w:val="FFFFFF"/>
          <w:sz w:val="22"/>
          <w:szCs w:val="22"/>
        </w:rPr>
        <w:t xml:space="preserve">Tom: Validate Section 4.2 (hybrid architecture) against B-072 namespace architecture.</w:t>
      </w:r>
    </w:p>
    <w:p>
      <w:pPr>
        <w:spacing w:after="80"/>
      </w:pPr>
    </w:p>
    <w:p>
      <w:pPr>
        <w:pBdr>
          <w:bottom w:val="single" w:color="30363D" w:sz="2" w:space="8"/>
        </w:pBdr>
        <w:spacing w:after="200" w:before="200"/>
      </w:pPr>
    </w:p>
    <w:p>
      <w:pPr>
        <w:spacing w:after="80"/>
      </w:pPr>
    </w:p>
    <w:p>
      <w:pPr>
        <w:spacing w:after="120"/>
      </w:pPr>
      <w:r>
        <w:rPr>
          <w:rFonts w:ascii="Arial" w:cs="Arial" w:eastAsia="Arial" w:hAnsi="Arial"/>
          <w:b w:val="false"/>
          <w:bCs w:val="false"/>
          <w:i w:val="false"/>
          <w:iCs w:val="false"/>
          <w:color w:val="FFFFFF"/>
          <w:sz w:val="22"/>
          <w:szCs w:val="22"/>
        </w:rPr>
        <w:t xml:space="preserve">PhD | Research Framework | March 1, 2026</w:t>
      </w:r>
    </w:p>
    <w:p>
      <w:pPr>
        <w:spacing w:after="120"/>
      </w:pPr>
      <w:r>
        <w:rPr>
          <w:rFonts w:ascii="Arial" w:cs="Arial" w:eastAsia="Arial" w:hAnsi="Arial"/>
          <w:b w:val="false"/>
          <w:bCs w:val="false"/>
          <w:i w:val="false"/>
          <w:iCs w:val="false"/>
          <w:color w:val="FFFFFF"/>
          <w:sz w:val="22"/>
          <w:szCs w:val="22"/>
        </w:rPr>
        <w:t xml:space="preserve">B-077 Task 4 — Position Paper Sections 0–4 DRAFT</w:t>
      </w:r>
    </w:p>
    <w:p>
      <w:pPr>
        <w:spacing w:after="120"/>
      </w:pPr>
      <w:r>
        <w:rPr>
          <w:rFonts w:ascii="Arial" w:cs="Arial" w:eastAsia="Arial" w:hAnsi="Arial"/>
          <w:b w:val="false"/>
          <w:bCs w:val="false"/>
          <w:i w:val="false"/>
          <w:iCs w:val="false"/>
          <w:color w:val="FFFFFF"/>
          <w:sz w:val="22"/>
          <w:szCs w:val="22"/>
        </w:rPr>
        <w:t xml:space="preserve">"Universal Event Notarization on the Bitcoin Time Chain"</w:t>
      </w:r>
    </w:p>
    <w:p>
      <w:pPr>
        <w:spacing w:after="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B949E"/>
        <w:sz w:val="16"/>
        <w:szCs w:val="16"/>
      </w:rPr>
      <w:t xml:space="preserve">GrowDirect  |  B-077 PhD Research Package  |  Page </w:t>
    </w:r>
    <w:r>
      <w:rPr>
        <w:rFonts w:ascii="Arial" w:cs="Arial" w:eastAsia="Arial" w:hAnsi="Arial"/>
        <w:color w:val="8B94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F85149"/>
        <w:sz w:val="16"/>
        <w:szCs w:val="16"/>
      </w:rPr>
      <w:t xml:space="preserve">MAXIMUM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FFFFF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2026-03-01T22:26:09.772Z</dcterms:created>
  <dcterms:modified xsi:type="dcterms:W3CDTF">2026-03-01T22:26:09.772Z</dcterms:modified>
</cp:coreProperties>
</file>

<file path=docProps/custom.xml><?xml version="1.0" encoding="utf-8"?>
<Properties xmlns="http://schemas.openxmlformats.org/officeDocument/2006/custom-properties" xmlns:vt="http://schemas.openxmlformats.org/officeDocument/2006/docPropsVTypes"/>
</file>