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color w:val="333333"/>
          <w:sz w:val="22"/>
          <w:szCs w:val="22"/>
        </w:rPr>
        <w:t xml:space="preserve">February 20, 2026</w:t>
      </w:r>
    </w:p>
    <w:p>
      <w:pPr>
        <w:spacing w:after="100"/>
      </w:pPr>
    </w:p>
    <w:p>
      <w:pPr>
        <w:spacing w:after="200"/>
      </w:pPr>
      <w:r>
        <w:rPr>
          <w:rFonts w:ascii="Calibri" w:cs="Calibri" w:eastAsia="Calibri" w:hAnsi="Calibri"/>
          <w:b/>
          <w:bCs/>
          <w:color w:val="333333"/>
          <w:sz w:val="22"/>
          <w:szCs w:val="22"/>
        </w:rPr>
        <w:t xml:space="preserve">Hathaway &amp; Kunz, LLP</w:t>
      </w:r>
    </w:p>
    <w:p>
      <w:pPr>
        <w:spacing w:after="200"/>
      </w:pPr>
      <w:r>
        <w:rPr>
          <w:rFonts w:ascii="Calibri" w:cs="Calibri" w:eastAsia="Calibri" w:hAnsi="Calibri"/>
          <w:color w:val="333333"/>
          <w:sz w:val="22"/>
          <w:szCs w:val="22"/>
        </w:rPr>
        <w:t xml:space="preserve">Attorneys at Law</w:t>
      </w:r>
    </w:p>
    <w:p>
      <w:pPr>
        <w:spacing w:after="200"/>
      </w:pPr>
      <w:r>
        <w:rPr>
          <w:rFonts w:ascii="Calibri" w:cs="Calibri" w:eastAsia="Calibri" w:hAnsi="Calibri"/>
          <w:color w:val="333333"/>
          <w:sz w:val="22"/>
          <w:szCs w:val="22"/>
        </w:rPr>
        <w:t xml:space="preserve">Cheyenne, Wyoming</w:t>
      </w:r>
    </w:p>
    <w:p>
      <w:pPr>
        <w:spacing w:after="200"/>
      </w:pPr>
      <w:r>
        <w:rPr>
          <w:rFonts w:ascii="Calibri" w:cs="Calibri" w:eastAsia="Calibri" w:hAnsi="Calibri"/>
          <w:color w:val="333333"/>
          <w:sz w:val="22"/>
          <w:szCs w:val="22"/>
        </w:rPr>
        <w:t xml:space="preserve">info@hkwyolaw.com</w:t>
      </w:r>
    </w:p>
    <w:p>
      <w:pPr>
        <w:spacing w:after="100"/>
      </w:pPr>
    </w:p>
    <w:p>
      <w:pPr>
        <w:spacing w:after="200"/>
      </w:pPr>
      <w:r>
        <w:rPr>
          <w:rFonts w:ascii="Calibri" w:cs="Calibri" w:eastAsia="Calibri" w:hAnsi="Calibri"/>
          <w:b/>
          <w:bCs/>
          <w:color w:val="333333"/>
          <w:sz w:val="22"/>
          <w:szCs w:val="22"/>
        </w:rPr>
        <w:t xml:space="preserve">RE: </w:t>
      </w:r>
      <w:r>
        <w:rPr>
          <w:rFonts w:ascii="Calibri" w:cs="Calibri" w:eastAsia="Calibri" w:hAnsi="Calibri"/>
          <w:color w:val="333333"/>
          <w:sz w:val="22"/>
          <w:szCs w:val="22"/>
        </w:rPr>
        <w:t xml:space="preserve">DAO LLC Formation — GrowDirect / Canary LP (Retail SaaS)</w:t>
      </w:r>
    </w:p>
    <w:p>
      <w:pPr>
        <w:spacing w:after="50"/>
      </w:pPr>
    </w:p>
    <w:p>
      <w:pPr>
        <w:spacing w:after="200"/>
      </w:pPr>
      <w:r>
        <w:rPr>
          <w:rFonts w:ascii="Calibri" w:cs="Calibri" w:eastAsia="Calibri" w:hAnsi="Calibri"/>
          <w:color w:val="333333"/>
          <w:sz w:val="22"/>
          <w:szCs w:val="22"/>
        </w:rPr>
        <w:t xml:space="preserve">Dear Counselors,</w:t>
      </w:r>
    </w:p>
    <w:p>
      <w:pPr>
        <w:spacing w:after="50"/>
      </w:pPr>
    </w:p>
    <w:p>
      <w:pPr>
        <w:spacing w:after="200"/>
      </w:pPr>
      <w:r>
        <w:rPr>
          <w:rFonts w:ascii="Calibri" w:cs="Calibri" w:eastAsia="Calibri" w:hAnsi="Calibri"/>
          <w:color w:val="333333"/>
          <w:sz w:val="22"/>
          <w:szCs w:val="22"/>
        </w:rPr>
        <w:t xml:space="preserve">I am writing on behalf of Geoffrey C. Lyle, Founder of GrowDirect and its first product, Canary LP. We are seeking qualified Wyoming counsel to assist with the formation and ongoing governance of a DAO LLC under Wyoming Statute §17-31-101 through 17-31-115.</w:t>
      </w:r>
    </w:p>
    <w:p>
      <w:pPr>
        <w:spacing w:after="200"/>
      </w:pPr>
      <w:r>
        <w:rPr>
          <w:rFonts w:ascii="Calibri" w:cs="Calibri" w:eastAsia="Calibri" w:hAnsi="Calibri"/>
          <w:b/>
          <w:bCs/>
          <w:color w:val="333333"/>
          <w:sz w:val="22"/>
          <w:szCs w:val="22"/>
        </w:rPr>
        <w:t xml:space="preserve">About GrowDirect / Canary LP</w:t>
      </w:r>
    </w:p>
    <w:p>
      <w:pPr>
        <w:spacing w:after="200"/>
      </w:pPr>
      <w:r>
        <w:rPr>
          <w:rFonts w:ascii="Calibri" w:cs="Calibri" w:eastAsia="Calibri" w:hAnsi="Calibri"/>
          <w:color w:val="333333"/>
          <w:sz w:val="22"/>
          <w:szCs w:val="22"/>
        </w:rPr>
        <w:t xml:space="preserve">Canary LP is a Bitcoin-native loss prevention analytics platform for small and mid-size retailers. The platform connects to point-of-sale systems (initially Square, expanding to Clover, Toast, and Shopify) via published APIs, ingests real-time transactional data, and surfaces fraud detection alerts using proprietary risk scoring algorithms. Subscription billing is conducted over the Lightning Network via BTCPay Server.</w:t>
      </w:r>
    </w:p>
    <w:p>
      <w:pPr>
        <w:spacing w:after="200"/>
      </w:pPr>
      <w:r>
        <w:rPr>
          <w:rFonts w:ascii="Calibri" w:cs="Calibri" w:eastAsia="Calibri" w:hAnsi="Calibri"/>
          <w:color w:val="333333"/>
          <w:sz w:val="22"/>
          <w:szCs w:val="22"/>
        </w:rPr>
        <w:t xml:space="preserve">GrowDirect is the parent entity under which Canary LP and future retail technology products will operate. The founder has 25+ years of enterprise retail technology experience, including co-founding a loss prevention analytics company that scaled to serve 75+ Fortune 500 retailers before acquisition.</w:t>
      </w:r>
    </w:p>
    <w:p>
      <w:pPr>
        <w:spacing w:after="200"/>
      </w:pPr>
      <w:r>
        <w:rPr>
          <w:rFonts w:ascii="Calibri" w:cs="Calibri" w:eastAsia="Calibri" w:hAnsi="Calibri"/>
          <w:b/>
          <w:bCs/>
          <w:color w:val="333333"/>
          <w:sz w:val="22"/>
          <w:szCs w:val="22"/>
        </w:rPr>
        <w:t xml:space="preserve">Scope of Engagement</w:t>
      </w:r>
    </w:p>
    <w:p>
      <w:pPr>
        <w:spacing w:after="200"/>
      </w:pPr>
      <w:r>
        <w:rPr>
          <w:rFonts w:ascii="Calibri" w:cs="Calibri" w:eastAsia="Calibri" w:hAnsi="Calibri"/>
          <w:color w:val="333333"/>
          <w:sz w:val="22"/>
          <w:szCs w:val="22"/>
        </w:rPr>
        <w:t xml:space="preserve">We are seeking a comprehensive formation and governance package, including but not limited to:</w:t>
      </w:r>
    </w:p>
    <w:p>
      <w:pPr>
        <w:spacing w:after="100"/>
        <w:ind w:left="720"/>
      </w:pPr>
      <w:r>
        <w:rPr>
          <w:rFonts w:ascii="Calibri" w:cs="Calibri" w:eastAsia="Calibri" w:hAnsi="Calibri"/>
          <w:color w:val="333333"/>
          <w:sz w:val="22"/>
          <w:szCs w:val="22"/>
        </w:rPr>
        <w:t xml:space="preserve">1.  Wyoming DAO LLC formation (Articles of Organization, DAO subtype designation)</w:t>
      </w:r>
    </w:p>
    <w:p>
      <w:pPr>
        <w:spacing w:after="100"/>
        <w:ind w:left="720"/>
      </w:pPr>
      <w:r>
        <w:rPr>
          <w:rFonts w:ascii="Calibri" w:cs="Calibri" w:eastAsia="Calibri" w:hAnsi="Calibri"/>
          <w:color w:val="333333"/>
          <w:sz w:val="22"/>
          <w:szCs w:val="22"/>
        </w:rPr>
        <w:t xml:space="preserve">2.  Custom operating agreement incorporating smart contract-based governance provisions</w:t>
      </w:r>
    </w:p>
    <w:p>
      <w:pPr>
        <w:spacing w:after="100"/>
        <w:ind w:left="720"/>
      </w:pPr>
      <w:r>
        <w:rPr>
          <w:rFonts w:ascii="Calibri" w:cs="Calibri" w:eastAsia="Calibri" w:hAnsi="Calibri"/>
          <w:color w:val="333333"/>
          <w:sz w:val="22"/>
          <w:szCs w:val="22"/>
        </w:rPr>
        <w:t xml:space="preserve">3.  Registered agent services (Wyoming address for service of process)</w:t>
      </w:r>
    </w:p>
    <w:p>
      <w:pPr>
        <w:spacing w:after="100"/>
        <w:ind w:left="720"/>
      </w:pPr>
      <w:r>
        <w:rPr>
          <w:rFonts w:ascii="Calibri" w:cs="Calibri" w:eastAsia="Calibri" w:hAnsi="Calibri"/>
          <w:color w:val="333333"/>
          <w:sz w:val="22"/>
          <w:szCs w:val="22"/>
        </w:rPr>
        <w:t xml:space="preserve">4.  EIN application and initial corporate resolutions</w:t>
      </w:r>
    </w:p>
    <w:p>
      <w:pPr>
        <w:spacing w:after="100"/>
        <w:ind w:left="720"/>
      </w:pPr>
      <w:r>
        <w:rPr>
          <w:rFonts w:ascii="Calibri" w:cs="Calibri" w:eastAsia="Calibri" w:hAnsi="Calibri"/>
          <w:color w:val="333333"/>
          <w:sz w:val="22"/>
          <w:szCs w:val="22"/>
        </w:rPr>
        <w:t xml:space="preserve">5.  IP assignment framework (ensuring all intellectual property is properly assigned to the entity)</w:t>
      </w:r>
    </w:p>
    <w:p>
      <w:pPr>
        <w:spacing w:after="100"/>
        <w:ind w:left="720"/>
      </w:pPr>
      <w:r>
        <w:rPr>
          <w:rFonts w:ascii="Calibri" w:cs="Calibri" w:eastAsia="Calibri" w:hAnsi="Calibri"/>
          <w:color w:val="333333"/>
          <w:sz w:val="22"/>
          <w:szCs w:val="22"/>
        </w:rPr>
        <w:t xml:space="preserve">6.  Guidance on BTC treasury governance provisions within the operating agreement</w:t>
      </w:r>
    </w:p>
    <w:p>
      <w:pPr>
        <w:spacing w:after="200"/>
        <w:ind w:left="720"/>
      </w:pPr>
      <w:r>
        <w:rPr>
          <w:rFonts w:ascii="Calibri" w:cs="Calibri" w:eastAsia="Calibri" w:hAnsi="Calibri"/>
          <w:color w:val="333333"/>
          <w:sz w:val="22"/>
          <w:szCs w:val="22"/>
        </w:rPr>
        <w:t xml:space="preserve">7.  Ongoing retainer availability for corporate governance, contract review, and regulatory compliance</w:t>
      </w:r>
    </w:p>
    <w:p>
      <w:pPr>
        <w:spacing w:after="200"/>
      </w:pPr>
      <w:r>
        <w:rPr>
          <w:rFonts w:ascii="Calibri" w:cs="Calibri" w:eastAsia="Calibri" w:hAnsi="Calibri"/>
          <w:b/>
          <w:bCs/>
          <w:color w:val="333333"/>
          <w:sz w:val="22"/>
          <w:szCs w:val="22"/>
        </w:rPr>
        <w:t xml:space="preserve">Relevant Context</w:t>
      </w:r>
    </w:p>
    <w:p>
      <w:pPr>
        <w:spacing w:after="200"/>
      </w:pPr>
      <w:r>
        <w:rPr>
          <w:rFonts w:ascii="Calibri" w:cs="Calibri" w:eastAsia="Calibri" w:hAnsi="Calibri"/>
          <w:color w:val="333333"/>
          <w:sz w:val="22"/>
          <w:szCs w:val="22"/>
        </w:rPr>
        <w:t xml:space="preserve">The platform is currently in Alpha with a working MVP, a comprehensive product documentation library, and a defined path to Square Marketplace certification. The BTC treasury is approximately $160,000 in Bitcoin and stablecoins. We anticipate onboarding beta merchants in Q2 2026 and targeting Square Marketplace listing by Q4 2026.</w:t>
      </w:r>
    </w:p>
    <w:p>
      <w:pPr>
        <w:spacing w:after="200"/>
      </w:pPr>
      <w:r>
        <w:rPr>
          <w:rFonts w:ascii="Calibri" w:cs="Calibri" w:eastAsia="Calibri" w:hAnsi="Calibri"/>
          <w:color w:val="333333"/>
          <w:sz w:val="22"/>
          <w:szCs w:val="22"/>
        </w:rPr>
        <w:t xml:space="preserve">The DAO LLC structure is a deliberate choice aligned with our Bitcoin-native architecture and long-term vision for merchant-governed platform development. We are not pursuing a token offering or public fundraise at this stage — the DAO structure serves governance transparency and BTC treasury management purposes.</w:t>
      </w:r>
    </w:p>
    <w:p>
      <w:pPr>
        <w:spacing w:after="200"/>
      </w:pPr>
      <w:r>
        <w:rPr>
          <w:rFonts w:ascii="Calibri" w:cs="Calibri" w:eastAsia="Calibri" w:hAnsi="Calibri"/>
          <w:b/>
          <w:bCs/>
          <w:color w:val="333333"/>
          <w:sz w:val="22"/>
          <w:szCs w:val="22"/>
        </w:rPr>
        <w:t xml:space="preserve">Next Steps</w:t>
      </w:r>
    </w:p>
    <w:p>
      <w:pPr>
        <w:spacing w:after="200"/>
      </w:pPr>
      <w:r>
        <w:rPr>
          <w:rFonts w:ascii="Calibri" w:cs="Calibri" w:eastAsia="Calibri" w:hAnsi="Calibri"/>
          <w:color w:val="333333"/>
          <w:sz w:val="22"/>
          <w:szCs w:val="22"/>
        </w:rPr>
        <w:t xml:space="preserve">We would welcome a scoping call at your earliest convenience to discuss the engagement in detail. Mr. Lyle is available for a call or video conference and can provide additional documentation including our white paper, product overview, and IP protection checklist.</w:t>
      </w:r>
    </w:p>
    <w:p>
      <w:pPr>
        <w:spacing w:after="200"/>
      </w:pPr>
      <w:r>
        <w:rPr>
          <w:rFonts w:ascii="Calibri" w:cs="Calibri" w:eastAsia="Calibri" w:hAnsi="Calibri"/>
          <w:color w:val="333333"/>
          <w:sz w:val="22"/>
          <w:szCs w:val="22"/>
        </w:rPr>
        <w:t xml:space="preserve">Please advise on your preferred process for initial consultations, fee structure, and estimated timeline for formation.</w:t>
      </w:r>
    </w:p>
    <w:p>
      <w:pPr>
        <w:spacing w:after="100"/>
      </w:pPr>
    </w:p>
    <w:p>
      <w:pPr>
        <w:spacing w:after="200"/>
      </w:pPr>
      <w:r>
        <w:rPr>
          <w:rFonts w:ascii="Calibri" w:cs="Calibri" w:eastAsia="Calibri" w:hAnsi="Calibri"/>
          <w:color w:val="333333"/>
          <w:sz w:val="22"/>
          <w:szCs w:val="22"/>
        </w:rPr>
        <w:t xml:space="preserve">Respectfully,</w:t>
      </w:r>
    </w:p>
    <w:p>
      <w:pPr>
        <w:spacing w:after="200"/>
      </w:pPr>
    </w:p>
    <w:p>
      <w:pPr>
        <w:spacing w:after="200"/>
      </w:pPr>
      <w:r>
        <w:rPr>
          <w:rFonts w:ascii="Calibri" w:cs="Calibri" w:eastAsia="Calibri" w:hAnsi="Calibri"/>
          <w:b/>
          <w:bCs/>
          <w:color w:val="333333"/>
          <w:sz w:val="22"/>
          <w:szCs w:val="22"/>
        </w:rPr>
        <w:t xml:space="preserve">Geoffrey C. Lyle</w:t>
      </w:r>
    </w:p>
    <w:p>
      <w:pPr>
        <w:spacing w:after="200"/>
      </w:pPr>
      <w:r>
        <w:rPr>
          <w:rFonts w:ascii="Calibri" w:cs="Calibri" w:eastAsia="Calibri" w:hAnsi="Calibri"/>
          <w:color w:val="333333"/>
          <w:sz w:val="22"/>
          <w:szCs w:val="22"/>
        </w:rPr>
        <w:t xml:space="preserve">Founder, GrowDirect / Canary LP</w:t>
      </w:r>
    </w:p>
    <w:p>
      <w:pPr>
        <w:spacing w:after="200"/>
      </w:pPr>
      <w:r>
        <w:rPr>
          <w:rFonts w:ascii="Calibri" w:cs="Calibri" w:eastAsia="Calibri" w:hAnsi="Calibri"/>
          <w:color w:val="333333"/>
          <w:sz w:val="22"/>
          <w:szCs w:val="22"/>
        </w:rPr>
        <w:t xml:space="preserve">bonsallprotea@gmail.com</w:t>
      </w:r>
    </w:p>
    <w:p>
      <w:pPr>
        <w:spacing w:after="200"/>
      </w:pPr>
    </w:p>
    <w:p>
      <w:pPr>
        <w:pBdr>
          <w:top w:val="single" w:color="CCCCCC" w:sz="2" w:space="4"/>
        </w:pBdr>
        <w:spacing w:after="100"/>
      </w:pPr>
      <w:r>
        <w:rPr>
          <w:rFonts w:ascii="Calibri" w:cs="Calibri" w:eastAsia="Calibri" w:hAnsi="Calibri"/>
          <w:i/>
          <w:iCs/>
          <w:color w:val="666666"/>
          <w:sz w:val="18"/>
          <w:szCs w:val="18"/>
        </w:rPr>
        <w:t xml:space="preserve">Enclosures (available upon request):</w:t>
      </w:r>
    </w:p>
    <w:p>
      <w:pPr>
        <w:spacing w:after="60"/>
        <w:ind w:left="360"/>
      </w:pPr>
      <w:r>
        <w:rPr>
          <w:rFonts w:ascii="Calibri" w:cs="Calibri" w:eastAsia="Calibri" w:hAnsi="Calibri"/>
          <w:i/>
          <w:iCs/>
          <w:color w:val="666666"/>
          <w:sz w:val="18"/>
          <w:szCs w:val="18"/>
        </w:rPr>
        <w:t xml:space="preserve">•  Canary LP White Paper v1.3</w:t>
      </w:r>
    </w:p>
    <w:p>
      <w:pPr>
        <w:spacing w:after="60"/>
        <w:ind w:left="360"/>
      </w:pPr>
      <w:r>
        <w:rPr>
          <w:rFonts w:ascii="Calibri" w:cs="Calibri" w:eastAsia="Calibri" w:hAnsi="Calibri"/>
          <w:i/>
          <w:iCs/>
          <w:color w:val="666666"/>
          <w:sz w:val="18"/>
          <w:szCs w:val="18"/>
        </w:rPr>
        <w:t xml:space="preserve">•  Canary Platform Overview</w:t>
      </w:r>
    </w:p>
    <w:p>
      <w:pPr>
        <w:spacing w:after="60"/>
        <w:ind w:left="360"/>
      </w:pPr>
      <w:r>
        <w:rPr>
          <w:rFonts w:ascii="Calibri" w:cs="Calibri" w:eastAsia="Calibri" w:hAnsi="Calibri"/>
          <w:i/>
          <w:iCs/>
          <w:color w:val="666666"/>
          <w:sz w:val="18"/>
          <w:szCs w:val="18"/>
        </w:rPr>
        <w:t xml:space="preserve">•  IP Protection Checklist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0"/>
      <w:jc w:val="center"/>
    </w:pPr>
    <w:r>
      <w:rPr>
        <w:rFonts w:ascii="Calibri" w:cs="Calibri" w:eastAsia="Calibri" w:hAnsi="Calibri"/>
        <w:color w:val="999999"/>
        <w:sz w:val="16"/>
        <w:szCs w:val="16"/>
      </w:rPr>
      <w:t xml:space="preserve">Canary LP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BF24" w:sz="6" w:space="4"/>
      </w:pBdr>
      <w:spacing w:after="0"/>
    </w:pPr>
    <w:r>
      <w:rPr>
        <w:rFonts w:ascii="Calibri" w:cs="Calibri" w:eastAsia="Calibri" w:hAnsi="Calibri"/>
        <w:b/>
        <w:bCs/>
        <w:color w:val="FBBF24"/>
        <w:sz w:val="20"/>
        <w:szCs w:val="20"/>
      </w:rPr>
      <w:t xml:space="preserve">GrowDirect  </w:t>
    </w:r>
    <w:r>
      <w:rPr>
        <w:rFonts w:ascii="Calibri" w:cs="Calibri" w:eastAsia="Calibri" w:hAnsi="Calibri"/>
        <w:color w:val="666666"/>
        <w:sz w:val="20"/>
        <w:szCs w:val="20"/>
      </w:rPr>
      <w:t xml:space="preserve">|  Canary 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2026-02-20T00:42:26.006Z</dcterms:created>
  <dcterms:modified xsi:type="dcterms:W3CDTF">2026-02-20T00:42:26.007Z</dcterms:modified>
</cp:coreProperties>
</file>

<file path=docProps/custom.xml><?xml version="1.0" encoding="utf-8"?>
<Properties xmlns="http://schemas.openxmlformats.org/officeDocument/2006/custom-properties" xmlns:vt="http://schemas.openxmlformats.org/officeDocument/2006/docPropsVTypes"/>
</file>