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D4A017"/>
          <w:sz w:val="48"/>
          <w:szCs w:val="48"/>
        </w:rPr>
        <w:t xml:space="preserve">OPERATING AGREEMENT</w:t>
      </w:r>
    </w:p>
    <w:p>
      <w:pPr>
        <w:spacing w:after="100"/>
        <w:jc w:val="center"/>
      </w:pPr>
      <w:r>
        <w:rPr>
          <w:rFonts w:ascii="Calibri" w:cs="Calibri" w:eastAsia="Calibri" w:hAnsi="Calibri"/>
          <w:color w:val="333333"/>
          <w:sz w:val="28"/>
          <w:szCs w:val="28"/>
        </w:rPr>
        <w:t xml:space="preserve">OF</w:t>
      </w:r>
    </w:p>
    <w:p>
      <w:pPr>
        <w:spacing w:after="200"/>
        <w:jc w:val="center"/>
      </w:pPr>
      <w:r>
        <w:rPr>
          <w:rFonts w:ascii="Calibri" w:cs="Calibri" w:eastAsia="Calibri" w:hAnsi="Calibri"/>
          <w:b/>
          <w:bCs/>
          <w:color w:val="D4A017"/>
          <w:sz w:val="40"/>
          <w:szCs w:val="40"/>
        </w:rPr>
        <w:t xml:space="preserve">GROWDIRECT DAO LLC</w:t>
      </w:r>
    </w:p>
    <w:p>
      <w:pPr>
        <w:spacing w:after="100"/>
        <w:jc w:val="center"/>
      </w:pPr>
      <w:r>
        <w:rPr>
          <w:rFonts w:ascii="Calibri" w:cs="Calibri" w:eastAsia="Calibri" w:hAnsi="Calibri"/>
          <w:color w:val="333333"/>
          <w:sz w:val="22"/>
          <w:szCs w:val="22"/>
        </w:rPr>
        <w:t xml:space="preserve">A Wyoming Decentralized Autonomous Organization Limited Liability Company</w:t>
      </w:r>
    </w:p>
    <w:p>
      <w:pPr>
        <w:spacing w:after="100"/>
        <w:jc w:val="center"/>
      </w:pPr>
      <w:r>
        <w:rPr>
          <w:rFonts w:ascii="Calibri" w:cs="Calibri" w:eastAsia="Calibri" w:hAnsi="Calibri"/>
          <w:color w:val="333333"/>
          <w:sz w:val="22"/>
          <w:szCs w:val="22"/>
        </w:rPr>
        <w:t xml:space="preserve">Organized Under W.S. 17-29-101 et seq. and W.S. 17-31-101 et seq.</w:t>
      </w:r>
    </w:p>
    <w:p>
      <w:pPr>
        <w:spacing w:before="400" w:after="200"/>
        <w:jc w:val="center"/>
      </w:pPr>
      <w:r>
        <w:rPr>
          <w:rFonts w:ascii="Calibri" w:cs="Calibri" w:eastAsia="Calibri" w:hAnsi="Calibri"/>
          <w:b/>
          <w:bCs/>
          <w:color w:val="333333"/>
          <w:sz w:val="22"/>
          <w:szCs w:val="22"/>
        </w:rPr>
        <w:t xml:space="preserve">Effective Date: [DATE OF FILING]</w:t>
      </w:r>
    </w:p>
    <w:p>
      <w:pPr>
        <w:spacing w:after="120"/>
        <w:jc w:val="center"/>
      </w:pPr>
      <w:r>
        <w:rPr>
          <w:rFonts w:ascii="Calibri" w:cs="Calibri" w:eastAsia="Calibri" w:hAnsi="Calibri"/>
          <w:i/>
          <w:iCs/>
          <w:color w:val="333333"/>
          <w:sz w:val="22"/>
          <w:szCs w:val="22"/>
        </w:rPr>
        <w:t xml:space="preserve">Prepared by GrowDirect Legal | gclyle@growdirect.io | 310-905-9272</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00" w:after="150"/>
      </w:pPr>
      <w:r>
        <w:rPr>
          <w:rFonts w:ascii="Calibri" w:cs="Calibri" w:eastAsia="Calibri" w:hAnsi="Calibri"/>
          <w:b/>
          <w:bCs/>
          <w:color w:val="D4A017"/>
          <w:sz w:val="32"/>
          <w:szCs w:val="32"/>
        </w:rPr>
        <w:t xml:space="preserve">Recitals</w:t>
      </w:r>
    </w:p>
    <w:p>
      <w:pPr>
        <w:spacing w:after="120"/>
        <w:jc w:val="left"/>
      </w:pPr>
      <w:r>
        <w:rPr>
          <w:rFonts w:ascii="Calibri" w:cs="Calibri" w:eastAsia="Calibri" w:hAnsi="Calibri"/>
          <w:color w:val="333333"/>
          <w:sz w:val="22"/>
          <w:szCs w:val="22"/>
        </w:rPr>
        <w:t xml:space="preserve">This Operating Agreement ("Agreement") of GrowDirect DAO LLC (the "Company" or "DAO") is entered into effective as of the date of filing of the Articles of Organization with the Wyoming Secretary of State, by and among the Members identified herein.</w:t>
      </w:r>
    </w:p>
    <w:p>
      <w:pPr>
        <w:spacing w:after="120"/>
        <w:jc w:val="left"/>
      </w:pPr>
      <w:r>
        <w:rPr>
          <w:rFonts w:ascii="Calibri" w:cs="Calibri" w:eastAsia="Calibri" w:hAnsi="Calibri"/>
          <w:color w:val="333333"/>
          <w:sz w:val="22"/>
          <w:szCs w:val="22"/>
        </w:rPr>
        <w:t xml:space="preserve">WHEREAS, the Members desire to form a Decentralized Autonomous Organization Limited Liability Company under the laws of the State of Wyoming, specifically the Wyoming Limited Liability Company Act (W.S. 17-29-101 et seq.) and the Wyoming Decentralized Autonomous Organization Supplement (W.S. 17-31-101 et seq.);</w:t>
      </w:r>
    </w:p>
    <w:p>
      <w:pPr>
        <w:spacing w:after="120"/>
        <w:jc w:val="left"/>
      </w:pPr>
      <w:r>
        <w:rPr>
          <w:rFonts w:ascii="Calibri" w:cs="Calibri" w:eastAsia="Calibri" w:hAnsi="Calibri"/>
          <w:color w:val="333333"/>
          <w:sz w:val="22"/>
          <w:szCs w:val="22"/>
        </w:rPr>
        <w:t xml:space="preserve">WHEREAS, the Members intend that the governance of the Company shall be facilitated in part by smart contracts deployed on a blockchain, with this Agreement and the Articles of Organization providing the supplemental legal framework;</w:t>
      </w:r>
    </w:p>
    <w:p>
      <w:pPr>
        <w:spacing w:after="120"/>
        <w:jc w:val="left"/>
      </w:pPr>
      <w:r>
        <w:rPr>
          <w:rFonts w:ascii="Calibri" w:cs="Calibri" w:eastAsia="Calibri" w:hAnsi="Calibri"/>
          <w:color w:val="333333"/>
          <w:sz w:val="22"/>
          <w:szCs w:val="22"/>
        </w:rPr>
        <w:t xml:space="preserve">WHEREAS, the Company shall operate the Canary loss prevention platform, Bitcoin/Lightning payment infrastructure, and related technology products for retail merchants;</w:t>
      </w:r>
    </w:p>
    <w:p>
      <w:pPr>
        <w:spacing w:after="120"/>
        <w:jc w:val="left"/>
      </w:pPr>
      <w:r>
        <w:rPr>
          <w:rFonts w:ascii="Calibri" w:cs="Calibri" w:eastAsia="Calibri" w:hAnsi="Calibri"/>
          <w:color w:val="333333"/>
          <w:sz w:val="22"/>
          <w:szCs w:val="22"/>
        </w:rPr>
        <w:t xml:space="preserve">NOW, THEREFORE, in consideration of the mutual covenants and agreements herein, the Members agree as follows:</w:t>
      </w:r>
    </w:p>
    <w:p>
      <w:pPr>
        <w:pStyle w:val="Heading1"/>
        <w:spacing w:before="300" w:after="150"/>
      </w:pPr>
      <w:r>
        <w:rPr>
          <w:rFonts w:ascii="Calibri" w:cs="Calibri" w:eastAsia="Calibri" w:hAnsi="Calibri"/>
          <w:b/>
          <w:bCs/>
          <w:color w:val="D4A017"/>
          <w:sz w:val="32"/>
          <w:szCs w:val="32"/>
        </w:rPr>
        <w:t xml:space="preserve">Article 1: Definitions</w:t>
      </w:r>
    </w:p>
    <w:p>
      <w:pPr>
        <w:spacing w:after="100"/>
      </w:pPr>
      <w:r>
        <w:rPr>
          <w:rFonts w:ascii="Calibri" w:cs="Calibri" w:eastAsia="Calibri" w:hAnsi="Calibri"/>
          <w:b/>
          <w:bCs/>
          <w:color w:val="333333"/>
          <w:sz w:val="22"/>
          <w:szCs w:val="22"/>
        </w:rPr>
        <w:t xml:space="preserve">"Blockchain" </w:t>
      </w:r>
      <w:r>
        <w:rPr>
          <w:rFonts w:ascii="Calibri" w:cs="Calibri" w:eastAsia="Calibri" w:hAnsi="Calibri"/>
          <w:color w:val="333333"/>
          <w:sz w:val="22"/>
          <w:szCs w:val="22"/>
        </w:rPr>
        <w:t xml:space="preserve">means the Avalanche blockchain (C-Chain), the distributed ledger technology selected as the primary deployment chain for the Governance Smart Contract. Avalanche was selected because the State of Wyoming has deployed its Frontier Stable Token (FRNT) on the Avalanche network, aligning GrowDirect’s infrastructure with Wyoming’s own blockchain ecosystem. Secondary deployments on other EVM-compatible chains or Bitcoin Layer 2 networks may be authorized by Majority Vote.</w:t>
      </w:r>
    </w:p>
    <w:p>
      <w:pPr>
        <w:spacing w:after="100"/>
      </w:pPr>
      <w:r>
        <w:rPr>
          <w:rFonts w:ascii="Calibri" w:cs="Calibri" w:eastAsia="Calibri" w:hAnsi="Calibri"/>
          <w:b/>
          <w:bCs/>
          <w:color w:val="333333"/>
          <w:sz w:val="22"/>
          <w:szCs w:val="22"/>
        </w:rPr>
        <w:t xml:space="preserve">"Company" </w:t>
      </w:r>
      <w:r>
        <w:rPr>
          <w:rFonts w:ascii="Calibri" w:cs="Calibri" w:eastAsia="Calibri" w:hAnsi="Calibri"/>
          <w:color w:val="333333"/>
          <w:sz w:val="22"/>
          <w:szCs w:val="22"/>
        </w:rPr>
        <w:t xml:space="preserve">means GrowDirect DAO LLC, a Wyoming DAO LLC.</w:t>
      </w:r>
    </w:p>
    <w:p>
      <w:pPr>
        <w:spacing w:after="100"/>
      </w:pPr>
      <w:r>
        <w:rPr>
          <w:rFonts w:ascii="Calibri" w:cs="Calibri" w:eastAsia="Calibri" w:hAnsi="Calibri"/>
          <w:b/>
          <w:bCs/>
          <w:color w:val="333333"/>
          <w:sz w:val="22"/>
          <w:szCs w:val="22"/>
        </w:rPr>
        <w:t xml:space="preserve">"DAO" </w:t>
      </w:r>
      <w:r>
        <w:rPr>
          <w:rFonts w:ascii="Calibri" w:cs="Calibri" w:eastAsia="Calibri" w:hAnsi="Calibri"/>
          <w:color w:val="333333"/>
          <w:sz w:val="22"/>
          <w:szCs w:val="22"/>
        </w:rPr>
        <w:t xml:space="preserve">means GrowDirect DAO LLC in its capacity as a Decentralized Autonomous Organization.</w:t>
      </w:r>
    </w:p>
    <w:p>
      <w:pPr>
        <w:spacing w:after="100"/>
      </w:pPr>
      <w:r>
        <w:rPr>
          <w:rFonts w:ascii="Calibri" w:cs="Calibri" w:eastAsia="Calibri" w:hAnsi="Calibri"/>
          <w:b/>
          <w:bCs/>
          <w:color w:val="333333"/>
          <w:sz w:val="22"/>
          <w:szCs w:val="22"/>
        </w:rPr>
        <w:t xml:space="preserve">"Founder Member" </w:t>
      </w:r>
      <w:r>
        <w:rPr>
          <w:rFonts w:ascii="Calibri" w:cs="Calibri" w:eastAsia="Calibri" w:hAnsi="Calibri"/>
          <w:color w:val="333333"/>
          <w:sz w:val="22"/>
          <w:szCs w:val="22"/>
        </w:rPr>
        <w:t xml:space="preserve">means Geoffrey C. Lyle, the initial organizing member of the Company.</w:t>
      </w:r>
    </w:p>
    <w:p>
      <w:pPr>
        <w:spacing w:after="100"/>
      </w:pPr>
      <w:r>
        <w:rPr>
          <w:rFonts w:ascii="Calibri" w:cs="Calibri" w:eastAsia="Calibri" w:hAnsi="Calibri"/>
          <w:b/>
          <w:bCs/>
          <w:color w:val="333333"/>
          <w:sz w:val="22"/>
          <w:szCs w:val="22"/>
        </w:rPr>
        <w:t xml:space="preserve">"Governance Smart Contract" </w:t>
      </w:r>
      <w:r>
        <w:rPr>
          <w:rFonts w:ascii="Calibri" w:cs="Calibri" w:eastAsia="Calibri" w:hAnsi="Calibri"/>
          <w:color w:val="333333"/>
          <w:sz w:val="22"/>
          <w:szCs w:val="22"/>
        </w:rPr>
        <w:t xml:space="preserve">means the smart contract identified in the Articles of Organization that facilitates governance decisions, voting, and treasury management.</w:t>
      </w:r>
    </w:p>
    <w:p>
      <w:pPr>
        <w:spacing w:after="100"/>
      </w:pPr>
      <w:r>
        <w:rPr>
          <w:rFonts w:ascii="Calibri" w:cs="Calibri" w:eastAsia="Calibri" w:hAnsi="Calibri"/>
          <w:b/>
          <w:bCs/>
          <w:color w:val="333333"/>
          <w:sz w:val="22"/>
          <w:szCs w:val="22"/>
        </w:rPr>
        <w:t xml:space="preserve">"Governance Token" </w:t>
      </w:r>
      <w:r>
        <w:rPr>
          <w:rFonts w:ascii="Calibri" w:cs="Calibri" w:eastAsia="Calibri" w:hAnsi="Calibri"/>
          <w:color w:val="333333"/>
          <w:sz w:val="22"/>
          <w:szCs w:val="22"/>
        </w:rPr>
        <w:t xml:space="preserve">means the digital token ("GROW") that represents membership interest and voting power in the DAO.</w:t>
      </w:r>
    </w:p>
    <w:p>
      <w:pPr>
        <w:spacing w:after="100"/>
      </w:pPr>
      <w:r>
        <w:rPr>
          <w:rFonts w:ascii="Calibri" w:cs="Calibri" w:eastAsia="Calibri" w:hAnsi="Calibri"/>
          <w:b/>
          <w:bCs/>
          <w:color w:val="333333"/>
          <w:sz w:val="22"/>
          <w:szCs w:val="22"/>
        </w:rPr>
        <w:t xml:space="preserve">"Majority Vote" </w:t>
      </w:r>
      <w:r>
        <w:rPr>
          <w:rFonts w:ascii="Calibri" w:cs="Calibri" w:eastAsia="Calibri" w:hAnsi="Calibri"/>
          <w:color w:val="333333"/>
          <w:sz w:val="22"/>
          <w:szCs w:val="22"/>
        </w:rPr>
        <w:t xml:space="preserve">means approval by holders of more than fifty percent (50%) of the total outstanding Governance Tokens that participate in a vote, provided a quorum is met.</w:t>
      </w:r>
    </w:p>
    <w:p>
      <w:pPr>
        <w:spacing w:after="100"/>
      </w:pPr>
      <w:r>
        <w:rPr>
          <w:rFonts w:ascii="Calibri" w:cs="Calibri" w:eastAsia="Calibri" w:hAnsi="Calibri"/>
          <w:b/>
          <w:bCs/>
          <w:color w:val="333333"/>
          <w:sz w:val="22"/>
          <w:szCs w:val="22"/>
        </w:rPr>
        <w:t xml:space="preserve">"Member" </w:t>
      </w:r>
      <w:r>
        <w:rPr>
          <w:rFonts w:ascii="Calibri" w:cs="Calibri" w:eastAsia="Calibri" w:hAnsi="Calibri"/>
          <w:color w:val="333333"/>
          <w:sz w:val="22"/>
          <w:szCs w:val="22"/>
        </w:rPr>
        <w:t xml:space="preserve">means any person or entity holding Governance Tokens and registered as a member of the DAO.</w:t>
      </w:r>
    </w:p>
    <w:p>
      <w:pPr>
        <w:spacing w:after="100"/>
      </w:pPr>
      <w:r>
        <w:rPr>
          <w:rFonts w:ascii="Calibri" w:cs="Calibri" w:eastAsia="Calibri" w:hAnsi="Calibri"/>
          <w:b/>
          <w:bCs/>
          <w:color w:val="333333"/>
          <w:sz w:val="22"/>
          <w:szCs w:val="22"/>
        </w:rPr>
        <w:t xml:space="preserve">"Proposal" </w:t>
      </w:r>
      <w:r>
        <w:rPr>
          <w:rFonts w:ascii="Calibri" w:cs="Calibri" w:eastAsia="Calibri" w:hAnsi="Calibri"/>
          <w:color w:val="333333"/>
          <w:sz w:val="22"/>
          <w:szCs w:val="22"/>
        </w:rPr>
        <w:t xml:space="preserve">means a formal governance action submitted to the DAO for member voting via the Governance Smart Contract.</w:t>
      </w:r>
    </w:p>
    <w:p>
      <w:pPr>
        <w:spacing w:after="100"/>
      </w:pPr>
      <w:r>
        <w:rPr>
          <w:rFonts w:ascii="Calibri" w:cs="Calibri" w:eastAsia="Calibri" w:hAnsi="Calibri"/>
          <w:b/>
          <w:bCs/>
          <w:color w:val="333333"/>
          <w:sz w:val="22"/>
          <w:szCs w:val="22"/>
        </w:rPr>
        <w:t xml:space="preserve">"Quorum" </w:t>
      </w:r>
      <w:r>
        <w:rPr>
          <w:rFonts w:ascii="Calibri" w:cs="Calibri" w:eastAsia="Calibri" w:hAnsi="Calibri"/>
          <w:color w:val="333333"/>
          <w:sz w:val="22"/>
          <w:szCs w:val="22"/>
        </w:rPr>
        <w:t xml:space="preserve">means the minimum percentage of Governance Tokens that must participate in a vote for it to be valid, set at twenty percent (20%) of total outstanding tokens.</w:t>
      </w:r>
    </w:p>
    <w:p>
      <w:pPr>
        <w:spacing w:after="100"/>
      </w:pPr>
      <w:r>
        <w:rPr>
          <w:rFonts w:ascii="Calibri" w:cs="Calibri" w:eastAsia="Calibri" w:hAnsi="Calibri"/>
          <w:b/>
          <w:bCs/>
          <w:color w:val="333333"/>
          <w:sz w:val="22"/>
          <w:szCs w:val="22"/>
        </w:rPr>
        <w:t xml:space="preserve">"Supermajority Vote" </w:t>
      </w:r>
      <w:r>
        <w:rPr>
          <w:rFonts w:ascii="Calibri" w:cs="Calibri" w:eastAsia="Calibri" w:hAnsi="Calibri"/>
          <w:color w:val="333333"/>
          <w:sz w:val="22"/>
          <w:szCs w:val="22"/>
        </w:rPr>
        <w:t xml:space="preserve">means approval by holders of more than two-thirds (66.7%) of the total outstanding Governance Tokens that participate in a vote.</w:t>
      </w:r>
    </w:p>
    <w:p>
      <w:pPr>
        <w:spacing w:after="100"/>
      </w:pPr>
      <w:r>
        <w:rPr>
          <w:rFonts w:ascii="Calibri" w:cs="Calibri" w:eastAsia="Calibri" w:hAnsi="Calibri"/>
          <w:b/>
          <w:bCs/>
          <w:color w:val="333333"/>
          <w:sz w:val="22"/>
          <w:szCs w:val="22"/>
        </w:rPr>
        <w:t xml:space="preserve">"Treasury" </w:t>
      </w:r>
      <w:r>
        <w:rPr>
          <w:rFonts w:ascii="Calibri" w:cs="Calibri" w:eastAsia="Calibri" w:hAnsi="Calibri"/>
          <w:color w:val="333333"/>
          <w:sz w:val="22"/>
          <w:szCs w:val="22"/>
        </w:rPr>
        <w:t xml:space="preserve">means the DAO's collective assets, including Bitcoin, stablecoins, fiat, and other digital assets held in smart contract-controlled or multi-signature wallets.</w:t>
      </w:r>
    </w:p>
    <w:p>
      <w:pPr>
        <w:pStyle w:val="Heading1"/>
        <w:spacing w:before="300" w:after="150"/>
      </w:pPr>
      <w:r>
        <w:rPr>
          <w:rFonts w:ascii="Calibri" w:cs="Calibri" w:eastAsia="Calibri" w:hAnsi="Calibri"/>
          <w:b/>
          <w:bCs/>
          <w:color w:val="D4A017"/>
          <w:sz w:val="32"/>
          <w:szCs w:val="32"/>
        </w:rPr>
        <w:t xml:space="preserve">Article 2: Formation and Existence</w:t>
      </w:r>
    </w:p>
    <w:p>
      <w:pPr>
        <w:pStyle w:val="Heading2"/>
        <w:spacing w:before="240" w:after="120"/>
      </w:pPr>
      <w:r>
        <w:rPr>
          <w:rFonts w:ascii="Calibri" w:cs="Calibri" w:eastAsia="Calibri" w:hAnsi="Calibri"/>
          <w:b/>
          <w:bCs/>
          <w:color w:val="333333"/>
          <w:sz w:val="26"/>
          <w:szCs w:val="26"/>
        </w:rPr>
        <w:t xml:space="preserve">2.1 Formation</w:t>
      </w:r>
    </w:p>
    <w:p>
      <w:pPr>
        <w:spacing w:after="120"/>
        <w:jc w:val="left"/>
      </w:pPr>
      <w:r>
        <w:rPr>
          <w:rFonts w:ascii="Calibri" w:cs="Calibri" w:eastAsia="Calibri" w:hAnsi="Calibri"/>
          <w:color w:val="333333"/>
          <w:sz w:val="22"/>
          <w:szCs w:val="22"/>
        </w:rPr>
        <w:t xml:space="preserve">The Company was formed upon the filing of the Articles of Organization with the Wyoming Secretary of State pursuant to W.S. 17-31-104. The Company is a Decentralized Autonomous Organization LLC governed by Wyoming law.</w:t>
      </w:r>
    </w:p>
    <w:p>
      <w:pPr>
        <w:pStyle w:val="Heading2"/>
        <w:spacing w:before="240" w:after="120"/>
      </w:pPr>
      <w:r>
        <w:rPr>
          <w:rFonts w:ascii="Calibri" w:cs="Calibri" w:eastAsia="Calibri" w:hAnsi="Calibri"/>
          <w:b/>
          <w:bCs/>
          <w:color w:val="333333"/>
          <w:sz w:val="26"/>
          <w:szCs w:val="26"/>
        </w:rPr>
        <w:t xml:space="preserve">2.2 Name</w:t>
      </w:r>
    </w:p>
    <w:p>
      <w:pPr>
        <w:spacing w:after="120"/>
        <w:jc w:val="left"/>
      </w:pPr>
      <w:r>
        <w:rPr>
          <w:rFonts w:ascii="Calibri" w:cs="Calibri" w:eastAsia="Calibri" w:hAnsi="Calibri"/>
          <w:color w:val="333333"/>
          <w:sz w:val="22"/>
          <w:szCs w:val="22"/>
        </w:rPr>
        <w:t xml:space="preserve">The name of the Company is "GrowDirect DAO LLC." The Company may also conduct business under the names "GrowDirect," "Canary LP," or such other trade names as the Members may approve.</w:t>
      </w:r>
    </w:p>
    <w:p>
      <w:pPr>
        <w:pStyle w:val="Heading2"/>
        <w:spacing w:before="240" w:after="120"/>
      </w:pPr>
      <w:r>
        <w:rPr>
          <w:rFonts w:ascii="Calibri" w:cs="Calibri" w:eastAsia="Calibri" w:hAnsi="Calibri"/>
          <w:b/>
          <w:bCs/>
          <w:color w:val="333333"/>
          <w:sz w:val="26"/>
          <w:szCs w:val="26"/>
        </w:rPr>
        <w:t xml:space="preserve">2.3 Principal Office</w:t>
      </w:r>
    </w:p>
    <w:p>
      <w:pPr>
        <w:spacing w:after="120"/>
        <w:jc w:val="left"/>
      </w:pPr>
      <w:r>
        <w:rPr>
          <w:rFonts w:ascii="Calibri" w:cs="Calibri" w:eastAsia="Calibri" w:hAnsi="Calibri"/>
          <w:color w:val="333333"/>
          <w:sz w:val="22"/>
          <w:szCs w:val="22"/>
        </w:rPr>
        <w:t xml:space="preserve">The principal office of the Company shall be at such location as the Members may designate from time to time.</w:t>
      </w:r>
    </w:p>
    <w:p>
      <w:pPr>
        <w:spacing w:after="100"/>
      </w:pPr>
      <w:r>
        <w:rPr>
          <w:rFonts w:ascii="Calibri" w:cs="Calibri" w:eastAsia="Calibri" w:hAnsi="Calibri"/>
          <w:b/>
          <w:bCs/>
          <w:color w:val="333333"/>
          <w:sz w:val="22"/>
          <w:szCs w:val="22"/>
        </w:rPr>
        <w:t xml:space="preserve">Initial Contact: </w:t>
      </w:r>
      <w:r>
        <w:rPr>
          <w:rFonts w:ascii="Calibri" w:cs="Calibri" w:eastAsia="Calibri" w:hAnsi="Calibri"/>
          <w:color w:val="333333"/>
          <w:sz w:val="22"/>
          <w:szCs w:val="22"/>
        </w:rPr>
        <w:t xml:space="preserve">Geoffrey C. Lyle, gclyle@growdirect.io, 310-905-9272</w:t>
      </w:r>
    </w:p>
    <w:p>
      <w:pPr>
        <w:pStyle w:val="Heading2"/>
        <w:spacing w:before="240" w:after="120"/>
      </w:pPr>
      <w:r>
        <w:rPr>
          <w:rFonts w:ascii="Calibri" w:cs="Calibri" w:eastAsia="Calibri" w:hAnsi="Calibri"/>
          <w:b/>
          <w:bCs/>
          <w:color w:val="333333"/>
          <w:sz w:val="26"/>
          <w:szCs w:val="26"/>
        </w:rPr>
        <w:t xml:space="preserve">2.4 Registered Agent</w:t>
      </w:r>
    </w:p>
    <w:p>
      <w:pPr>
        <w:spacing w:after="120"/>
        <w:jc w:val="left"/>
      </w:pPr>
      <w:r>
        <w:rPr>
          <w:rFonts w:ascii="Calibri" w:cs="Calibri" w:eastAsia="Calibri" w:hAnsi="Calibri"/>
          <w:color w:val="333333"/>
          <w:sz w:val="22"/>
          <w:szCs w:val="22"/>
        </w:rPr>
        <w:t xml:space="preserve">The Company shall maintain a registered agent in Wyoming as required by law. The initial registered agent is as specified in the Articles of Organization.</w:t>
      </w:r>
    </w:p>
    <w:p>
      <w:pPr>
        <w:pStyle w:val="Heading2"/>
        <w:spacing w:before="240" w:after="120"/>
      </w:pPr>
      <w:r>
        <w:rPr>
          <w:rFonts w:ascii="Calibri" w:cs="Calibri" w:eastAsia="Calibri" w:hAnsi="Calibri"/>
          <w:b/>
          <w:bCs/>
          <w:color w:val="333333"/>
          <w:sz w:val="26"/>
          <w:szCs w:val="26"/>
        </w:rPr>
        <w:t xml:space="preserve">2.5 Term</w:t>
      </w:r>
    </w:p>
    <w:p>
      <w:pPr>
        <w:spacing w:after="120"/>
        <w:jc w:val="left"/>
      </w:pPr>
      <w:r>
        <w:rPr>
          <w:rFonts w:ascii="Calibri" w:cs="Calibri" w:eastAsia="Calibri" w:hAnsi="Calibri"/>
          <w:color w:val="333333"/>
          <w:sz w:val="22"/>
          <w:szCs w:val="22"/>
        </w:rPr>
        <w:t xml:space="preserve">The Company shall have perpetual duration unless dissolved in accordance with this Agreement or applicable law.</w:t>
      </w:r>
    </w:p>
    <w:p>
      <w:pPr>
        <w:pStyle w:val="Heading2"/>
        <w:spacing w:before="240" w:after="120"/>
      </w:pPr>
      <w:r>
        <w:rPr>
          <w:rFonts w:ascii="Calibri" w:cs="Calibri" w:eastAsia="Calibri" w:hAnsi="Calibri"/>
          <w:b/>
          <w:bCs/>
          <w:color w:val="333333"/>
          <w:sz w:val="26"/>
          <w:szCs w:val="26"/>
        </w:rPr>
        <w:t xml:space="preserve">2.6 Purpose</w:t>
      </w:r>
    </w:p>
    <w:p>
      <w:pPr>
        <w:spacing w:after="120"/>
        <w:jc w:val="left"/>
      </w:pPr>
      <w:r>
        <w:rPr>
          <w:rFonts w:ascii="Calibri" w:cs="Calibri" w:eastAsia="Calibri" w:hAnsi="Calibri"/>
          <w:color w:val="333333"/>
          <w:sz w:val="22"/>
          <w:szCs w:val="22"/>
        </w:rPr>
        <w:t xml:space="preserve">The Company is organized for the purposes stated in the Articles of Organization and to engage in any lawful activity permitted under the Wyoming LLC Act and DAO Supplement, including but not limited to developing and operating AI-powered loss prevention technology, Bitcoin and Lightning Network payment infrastructure, open-source retail analytics, and digital asset treasury management.</w:t>
      </w:r>
    </w:p>
    <w:p>
      <w:pPr>
        <w:pStyle w:val="Heading1"/>
        <w:spacing w:before="300" w:after="150"/>
      </w:pPr>
      <w:r>
        <w:rPr>
          <w:rFonts w:ascii="Calibri" w:cs="Calibri" w:eastAsia="Calibri" w:hAnsi="Calibri"/>
          <w:b/>
          <w:bCs/>
          <w:color w:val="D4A017"/>
          <w:sz w:val="32"/>
          <w:szCs w:val="32"/>
        </w:rPr>
        <w:t xml:space="preserve">Article 3: Membership and Governance Tokens</w:t>
      </w:r>
    </w:p>
    <w:p>
      <w:pPr>
        <w:pStyle w:val="Heading2"/>
        <w:spacing w:before="240" w:after="120"/>
      </w:pPr>
      <w:r>
        <w:rPr>
          <w:rFonts w:ascii="Calibri" w:cs="Calibri" w:eastAsia="Calibri" w:hAnsi="Calibri"/>
          <w:b/>
          <w:bCs/>
          <w:color w:val="333333"/>
          <w:sz w:val="26"/>
          <w:szCs w:val="26"/>
        </w:rPr>
        <w:t xml:space="preserve">3.1 Membership Interests</w:t>
      </w:r>
    </w:p>
    <w:p>
      <w:pPr>
        <w:spacing w:after="120"/>
        <w:jc w:val="left"/>
      </w:pPr>
      <w:r>
        <w:rPr>
          <w:rFonts w:ascii="Calibri" w:cs="Calibri" w:eastAsia="Calibri" w:hAnsi="Calibri"/>
          <w:color w:val="333333"/>
          <w:sz w:val="22"/>
          <w:szCs w:val="22"/>
        </w:rPr>
        <w:t xml:space="preserve">Membership interests in the Company are represented by Governance Tokens ("GROW"). Each GROW token entitles the holder to one (1) vote on Proposals submitted to the DAO.</w:t>
      </w:r>
    </w:p>
    <w:p>
      <w:pPr>
        <w:pStyle w:val="Heading2"/>
        <w:spacing w:before="240" w:after="120"/>
      </w:pPr>
      <w:r>
        <w:rPr>
          <w:rFonts w:ascii="Calibri" w:cs="Calibri" w:eastAsia="Calibri" w:hAnsi="Calibri"/>
          <w:b/>
          <w:bCs/>
          <w:color w:val="333333"/>
          <w:sz w:val="26"/>
          <w:szCs w:val="26"/>
        </w:rPr>
        <w:t xml:space="preserve">3.2 Initial Token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Allocation</w:t>
            </w:r>
          </w:p>
        </w:tc>
        <w:tc>
          <w:tcPr>
            <w:tcW w:type="dxa" w:w="18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Tokens</w:t>
            </w:r>
          </w:p>
        </w:tc>
        <w:tc>
          <w:tcPr>
            <w:tcW w:type="dxa" w:w="18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Percentage</w:t>
            </w:r>
          </w:p>
        </w:tc>
        <w:tc>
          <w:tcPr>
            <w:tcW w:type="dxa" w:w="19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Vesting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Founder (Geoffrey C. Lyle)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sz w:val="20"/>
                <w:szCs w:val="20"/>
              </w:rPr>
              <w:t xml:space="preserve">51,000,000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51%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4-yr, 1-yr cliff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Team &amp; Advisors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sz w:val="20"/>
                <w:szCs w:val="20"/>
              </w:rPr>
              <w:t xml:space="preserve">15,000,000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15%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4-yr, 1-yr cliff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Treasury /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sz w:val="20"/>
                <w:szCs w:val="20"/>
              </w:rPr>
              <w:t xml:space="preserve">20,000,000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20%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DAO-governed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Community / Ecosystem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sz w:val="20"/>
                <w:szCs w:val="20"/>
              </w:rPr>
              <w:t xml:space="preserve">10,000,000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10%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Milestone-based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Future Investors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sz w:val="20"/>
                <w:szCs w:val="20"/>
              </w:rPr>
              <w:t xml:space="preserve">4,000,000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 SAFE/agreement</w:t>
            </w:r>
          </w:p>
        </w:tc>
      </w:tr>
    </w:tbl>
    <w:p>
      <w:pPr>
        <w:spacing w:after="120"/>
        <w:jc w:val="left"/>
      </w:pPr>
      <w:r>
        <w:rPr>
          <w:rFonts w:ascii="Calibri" w:cs="Calibri" w:eastAsia="Calibri" w:hAnsi="Calibri"/>
          <w:color w:val="333333"/>
          <w:sz w:val="22"/>
          <w:szCs w:val="22"/>
        </w:rPr>
        <w:t xml:space="preserve"/>
      </w:r>
    </w:p>
    <w:p>
      <w:pPr>
        <w:spacing w:after="100"/>
      </w:pPr>
      <w:r>
        <w:rPr>
          <w:rFonts w:ascii="Calibri" w:cs="Calibri" w:eastAsia="Calibri" w:hAnsi="Calibri"/>
          <w:b/>
          <w:bCs/>
          <w:color w:val="333333"/>
          <w:sz w:val="22"/>
          <w:szCs w:val="22"/>
        </w:rPr>
        <w:t xml:space="preserve">Total Supply: </w:t>
      </w:r>
      <w:r>
        <w:rPr>
          <w:rFonts w:ascii="Calibri" w:cs="Calibri" w:eastAsia="Calibri" w:hAnsi="Calibri"/>
          <w:color w:val="333333"/>
          <w:sz w:val="22"/>
          <w:szCs w:val="22"/>
        </w:rPr>
        <w:t xml:space="preserve">100,000,000 GROW tokens (fixed supply, no additional minting without Supermajority Vote)</w:t>
      </w:r>
    </w:p>
    <w:p>
      <w:pPr>
        <w:shd w:fill="E8F4FD" w:val="clear"/>
        <w:spacing w:before="80" w:after="80"/>
      </w:pPr>
      <w:r>
        <w:rPr>
          <w:rFonts w:ascii="Calibri" w:cs="Calibri" w:eastAsia="Calibri" w:hAnsi="Calibri"/>
          <w:b/>
          <w:bCs/>
          <w:i/>
          <w:iCs/>
          <w:color w:val="2563EB"/>
          <w:sz w:val="20"/>
          <w:szCs w:val="20"/>
        </w:rPr>
        <w:t xml:space="preserve">ATTORNEY NOTE: </w:t>
      </w:r>
      <w:r>
        <w:rPr>
          <w:rFonts w:ascii="Calibri" w:cs="Calibri" w:eastAsia="Calibri" w:hAnsi="Calibri"/>
          <w:i/>
          <w:iCs/>
          <w:color w:val="2563EB"/>
          <w:sz w:val="20"/>
          <w:szCs w:val="20"/>
        </w:rPr>
        <w:t xml:space="preserve">Token allocation percentages are placeholders. Attorney should review with Jeffe and confirm final cap table structure, vesting schedules, and any SAFE/convertible note implications. Securities counsel should evaluate whether GROW tokens constitute securities under Howey.</w:t>
      </w:r>
    </w:p>
    <w:p>
      <w:pPr>
        <w:pStyle w:val="Heading2"/>
        <w:spacing w:before="240" w:after="120"/>
      </w:pPr>
      <w:r>
        <w:rPr>
          <w:rFonts w:ascii="Calibri" w:cs="Calibri" w:eastAsia="Calibri" w:hAnsi="Calibri"/>
          <w:b/>
          <w:bCs/>
          <w:color w:val="333333"/>
          <w:sz w:val="26"/>
          <w:szCs w:val="26"/>
        </w:rPr>
        <w:t xml:space="preserve">3.3 Transfer Restrictions</w:t>
      </w:r>
    </w:p>
    <w:p>
      <w:pPr>
        <w:spacing w:after="120"/>
        <w:jc w:val="left"/>
      </w:pPr>
      <w:r>
        <w:rPr>
          <w:rFonts w:ascii="Calibri" w:cs="Calibri" w:eastAsia="Calibri" w:hAnsi="Calibri"/>
          <w:color w:val="333333"/>
          <w:sz w:val="22"/>
          <w:szCs w:val="22"/>
        </w:rPr>
        <w:t xml:space="preserve">Transfer of Governance Tokens is restricted as follows pursuant to W.S. 17-31-109:</w:t>
      </w:r>
    </w:p>
    <w:p>
      <w:pPr>
        <w:pStyle w:val="ListParagraph"/>
        <w:numPr>
          <w:ilvl w:val="0"/>
          <w:numId w:val="2"/>
        </w:numPr>
        <w:spacing w:after="100"/>
      </w:pPr>
      <w:r>
        <w:rPr>
          <w:rFonts w:ascii="Calibri" w:cs="Calibri" w:eastAsia="Calibri" w:hAnsi="Calibri"/>
          <w:color w:val="333333"/>
          <w:sz w:val="22"/>
          <w:szCs w:val="22"/>
        </w:rPr>
        <w:t xml:space="preserve">Founder Tokens (51%) are subject to a four-year vesting schedule with a one-year cliff and are non-transferable during the vesting period except with Supermajority approval.</w:t>
      </w:r>
    </w:p>
    <w:p>
      <w:pPr>
        <w:pStyle w:val="ListParagraph"/>
        <w:numPr>
          <w:ilvl w:val="0"/>
          <w:numId w:val="2"/>
        </w:numPr>
        <w:spacing w:after="100"/>
      </w:pPr>
      <w:r>
        <w:rPr>
          <w:rFonts w:ascii="Calibri" w:cs="Calibri" w:eastAsia="Calibri" w:hAnsi="Calibri"/>
          <w:color w:val="333333"/>
          <w:sz w:val="22"/>
          <w:szCs w:val="22"/>
        </w:rPr>
        <w:t xml:space="preserve">Team and Advisor Tokens are subject to their respective vesting agreements and may not be transferred until vested.</w:t>
      </w:r>
    </w:p>
    <w:p>
      <w:pPr>
        <w:pStyle w:val="ListParagraph"/>
        <w:numPr>
          <w:ilvl w:val="0"/>
          <w:numId w:val="2"/>
        </w:numPr>
        <w:spacing w:after="100"/>
      </w:pPr>
      <w:r>
        <w:rPr>
          <w:rFonts w:ascii="Calibri" w:cs="Calibri" w:eastAsia="Calibri" w:hAnsi="Calibri"/>
          <w:color w:val="333333"/>
          <w:sz w:val="22"/>
          <w:szCs w:val="22"/>
        </w:rPr>
        <w:t xml:space="preserve">All transfers must comply with applicable securities laws and are subject to smart contract enforcement.</w:t>
      </w:r>
    </w:p>
    <w:p>
      <w:pPr>
        <w:pStyle w:val="ListParagraph"/>
        <w:numPr>
          <w:ilvl w:val="0"/>
          <w:numId w:val="2"/>
        </w:numPr>
        <w:spacing w:after="100"/>
      </w:pPr>
      <w:r>
        <w:rPr>
          <w:rFonts w:ascii="Calibri" w:cs="Calibri" w:eastAsia="Calibri" w:hAnsi="Calibri"/>
          <w:color w:val="333333"/>
          <w:sz w:val="22"/>
          <w:szCs w:val="22"/>
        </w:rPr>
        <w:t xml:space="preserve">The Company reserves the right to implement KYC/AML procedures for token transfers as required by law.</w:t>
      </w:r>
    </w:p>
    <w:p>
      <w:pPr>
        <w:pStyle w:val="Heading2"/>
        <w:spacing w:before="240" w:after="120"/>
      </w:pPr>
      <w:r>
        <w:rPr>
          <w:rFonts w:ascii="Calibri" w:cs="Calibri" w:eastAsia="Calibri" w:hAnsi="Calibri"/>
          <w:b/>
          <w:bCs/>
          <w:color w:val="333333"/>
          <w:sz w:val="26"/>
          <w:szCs w:val="26"/>
        </w:rPr>
        <w:t xml:space="preserve">3.4 Admission of New Members</w:t>
      </w:r>
    </w:p>
    <w:p>
      <w:pPr>
        <w:spacing w:after="120"/>
        <w:jc w:val="left"/>
      </w:pPr>
      <w:r>
        <w:rPr>
          <w:rFonts w:ascii="Calibri" w:cs="Calibri" w:eastAsia="Calibri" w:hAnsi="Calibri"/>
          <w:color w:val="333333"/>
          <w:sz w:val="22"/>
          <w:szCs w:val="22"/>
        </w:rPr>
        <w:t xml:space="preserve">New Members may be admitted by acquiring Governance Tokens through approved channels (investment rounds, team grants, community distributions) as approved by Majority Vote or as delegated to the Founder Member during the initial operating period.</w:t>
      </w:r>
    </w:p>
    <w:p>
      <w:pPr>
        <w:pStyle w:val="Heading1"/>
        <w:spacing w:before="300" w:after="150"/>
      </w:pPr>
      <w:r>
        <w:rPr>
          <w:rFonts w:ascii="Calibri" w:cs="Calibri" w:eastAsia="Calibri" w:hAnsi="Calibri"/>
          <w:b/>
          <w:bCs/>
          <w:color w:val="D4A017"/>
          <w:sz w:val="32"/>
          <w:szCs w:val="32"/>
        </w:rPr>
        <w:t xml:space="preserve">Article 4: Governance and Voting</w:t>
      </w:r>
    </w:p>
    <w:p>
      <w:pPr>
        <w:pStyle w:val="Heading2"/>
        <w:spacing w:before="240" w:after="120"/>
      </w:pPr>
      <w:r>
        <w:rPr>
          <w:rFonts w:ascii="Calibri" w:cs="Calibri" w:eastAsia="Calibri" w:hAnsi="Calibri"/>
          <w:b/>
          <w:bCs/>
          <w:color w:val="333333"/>
          <w:sz w:val="26"/>
          <w:szCs w:val="26"/>
        </w:rPr>
        <w:t xml:space="preserve">4.1 Member-Managed</w:t>
      </w:r>
    </w:p>
    <w:p>
      <w:pPr>
        <w:spacing w:after="120"/>
        <w:jc w:val="left"/>
      </w:pPr>
      <w:r>
        <w:rPr>
          <w:rFonts w:ascii="Calibri" w:cs="Calibri" w:eastAsia="Calibri" w:hAnsi="Calibri"/>
          <w:color w:val="333333"/>
          <w:sz w:val="22"/>
          <w:szCs w:val="22"/>
        </w:rPr>
        <w:t xml:space="preserve">The Company is member-managed. All Members holding Governance Tokens have the right to participate in governance through the Proposal and voting mechanisms defined in the Governance Smart Contract.</w:t>
      </w:r>
    </w:p>
    <w:p>
      <w:pPr>
        <w:pStyle w:val="Heading2"/>
        <w:spacing w:before="240" w:after="120"/>
      </w:pPr>
      <w:r>
        <w:rPr>
          <w:rFonts w:ascii="Calibri" w:cs="Calibri" w:eastAsia="Calibri" w:hAnsi="Calibri"/>
          <w:b/>
          <w:bCs/>
          <w:color w:val="333333"/>
          <w:sz w:val="26"/>
          <w:szCs w:val="26"/>
        </w:rPr>
        <w:t xml:space="preserve">4.2 Proposal Types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Proposal Type</w:t>
            </w:r>
          </w:p>
        </w:tc>
        <w:tc>
          <w:tcPr>
            <w:tcW w:type="dxa" w:w="2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Threshold</w:t>
            </w:r>
          </w:p>
        </w:tc>
        <w:tc>
          <w:tcPr>
            <w:tcW w:type="dxa" w:w="2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Quorum</w:t>
            </w:r>
          </w:p>
        </w:tc>
        <w:tc>
          <w:tcPr>
            <w:tcW w:type="dxa" w:w="18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Voting Period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Operational (&lt; $50K spend)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Treasury (&gt; $50K spend)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Smart Contract Upgrade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Supermajority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Amend Operating Agreement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Supermajority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Amend Articles of Org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Supermajority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Dissolution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Supermajority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days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Token Supply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Supermajority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days</w:t>
            </w:r>
          </w:p>
        </w:tc>
      </w:tr>
    </w:tbl>
    <w:p>
      <w:pPr>
        <w:pStyle w:val="Heading2"/>
        <w:spacing w:before="240" w:after="120"/>
      </w:pPr>
      <w:r>
        <w:rPr>
          <w:rFonts w:ascii="Calibri" w:cs="Calibri" w:eastAsia="Calibri" w:hAnsi="Calibri"/>
          <w:b/>
          <w:bCs/>
          <w:color w:val="333333"/>
          <w:sz w:val="26"/>
          <w:szCs w:val="26"/>
        </w:rPr>
        <w:t xml:space="preserve">4.3 Founder Authority (Initial Operating Period)</w:t>
      </w:r>
    </w:p>
    <w:p>
      <w:pPr>
        <w:spacing w:after="120"/>
        <w:jc w:val="left"/>
      </w:pPr>
      <w:r>
        <w:rPr>
          <w:rFonts w:ascii="Calibri" w:cs="Calibri" w:eastAsia="Calibri" w:hAnsi="Calibri"/>
          <w:color w:val="333333"/>
          <w:sz w:val="22"/>
          <w:szCs w:val="22"/>
        </w:rPr>
        <w:t xml:space="preserve">During the Initial Operating Period (defined as the first twenty-four (24) months following formation, or until the first external funding round closes, whichever occurs first), the Founder Member shall have the following delegated authority:</w:t>
      </w:r>
    </w:p>
    <w:p>
      <w:pPr>
        <w:pStyle w:val="ListParagraph"/>
        <w:numPr>
          <w:ilvl w:val="0"/>
          <w:numId w:val="2"/>
        </w:numPr>
        <w:spacing w:after="100"/>
      </w:pPr>
      <w:r>
        <w:rPr>
          <w:rFonts w:ascii="Calibri" w:cs="Calibri" w:eastAsia="Calibri" w:hAnsi="Calibri"/>
          <w:color w:val="333333"/>
          <w:sz w:val="22"/>
          <w:szCs w:val="22"/>
        </w:rPr>
        <w:t xml:space="preserve">Execute day-to-day operational decisions without requiring a formal Proposal.</w:t>
      </w:r>
    </w:p>
    <w:p>
      <w:pPr>
        <w:pStyle w:val="ListParagraph"/>
        <w:numPr>
          <w:ilvl w:val="0"/>
          <w:numId w:val="2"/>
        </w:numPr>
        <w:spacing w:after="100"/>
      </w:pPr>
      <w:r>
        <w:rPr>
          <w:rFonts w:ascii="Calibri" w:cs="Calibri" w:eastAsia="Calibri" w:hAnsi="Calibri"/>
          <w:color w:val="333333"/>
          <w:sz w:val="22"/>
          <w:szCs w:val="22"/>
        </w:rPr>
        <w:t xml:space="preserve">Approve expenditures up to $25,000 per transaction without member vote.</w:t>
      </w:r>
    </w:p>
    <w:p>
      <w:pPr>
        <w:pStyle w:val="ListParagraph"/>
        <w:numPr>
          <w:ilvl w:val="0"/>
          <w:numId w:val="2"/>
        </w:numPr>
        <w:spacing w:after="100"/>
      </w:pPr>
      <w:r>
        <w:rPr>
          <w:rFonts w:ascii="Calibri" w:cs="Calibri" w:eastAsia="Calibri" w:hAnsi="Calibri"/>
          <w:color w:val="333333"/>
          <w:sz w:val="22"/>
          <w:szCs w:val="22"/>
        </w:rPr>
        <w:t xml:space="preserve">Enter into contracts in the ordinary course of business.</w:t>
      </w:r>
    </w:p>
    <w:p>
      <w:pPr>
        <w:pStyle w:val="ListParagraph"/>
        <w:numPr>
          <w:ilvl w:val="0"/>
          <w:numId w:val="2"/>
        </w:numPr>
        <w:spacing w:after="100"/>
      </w:pPr>
      <w:r>
        <w:rPr>
          <w:rFonts w:ascii="Calibri" w:cs="Calibri" w:eastAsia="Calibri" w:hAnsi="Calibri"/>
          <w:color w:val="333333"/>
          <w:sz w:val="22"/>
          <w:szCs w:val="22"/>
        </w:rPr>
        <w:t xml:space="preserve">Manage the initial deployment and configuration of the Governance Smart Contract.</w:t>
      </w:r>
    </w:p>
    <w:p>
      <w:pPr>
        <w:pStyle w:val="ListParagraph"/>
        <w:numPr>
          <w:ilvl w:val="0"/>
          <w:numId w:val="2"/>
        </w:numPr>
        <w:spacing w:after="100"/>
      </w:pPr>
      <w:r>
        <w:rPr>
          <w:rFonts w:ascii="Calibri" w:cs="Calibri" w:eastAsia="Calibri" w:hAnsi="Calibri"/>
          <w:color w:val="333333"/>
          <w:sz w:val="22"/>
          <w:szCs w:val="22"/>
        </w:rPr>
        <w:t xml:space="preserve">Appoint and remove team members and advisors, subject to their respective token grants vesting per approved schedules.</w:t>
      </w:r>
    </w:p>
    <w:p>
      <w:pPr>
        <w:spacing w:after="120"/>
        <w:jc w:val="left"/>
      </w:pPr>
      <w:r>
        <w:rPr>
          <w:rFonts w:ascii="Calibri" w:cs="Calibri" w:eastAsia="Calibri" w:hAnsi="Calibri"/>
          <w:color w:val="333333"/>
          <w:sz w:val="22"/>
          <w:szCs w:val="22"/>
        </w:rPr>
        <w:t xml:space="preserve">This delegated authority may be modified or revoked by Supermajority Vote at any time.</w:t>
      </w:r>
    </w:p>
    <w:p>
      <w:pPr>
        <w:shd w:fill="E8F4FD" w:val="clear"/>
        <w:spacing w:before="80" w:after="80"/>
      </w:pPr>
      <w:r>
        <w:rPr>
          <w:rFonts w:ascii="Calibri" w:cs="Calibri" w:eastAsia="Calibri" w:hAnsi="Calibri"/>
          <w:b/>
          <w:bCs/>
          <w:i/>
          <w:iCs/>
          <w:color w:val="2563EB"/>
          <w:sz w:val="20"/>
          <w:szCs w:val="20"/>
        </w:rPr>
        <w:t xml:space="preserve">ATTORNEY NOTE: </w:t>
      </w:r>
      <w:r>
        <w:rPr>
          <w:rFonts w:ascii="Calibri" w:cs="Calibri" w:eastAsia="Calibri" w:hAnsi="Calibri"/>
          <w:i/>
          <w:iCs/>
          <w:color w:val="2563EB"/>
          <w:sz w:val="20"/>
          <w:szCs w:val="20"/>
        </w:rPr>
        <w:t xml:space="preserve">The Initial Operating Period clause is critical for startup velocity while maintaining DAO structure. Attorney should review the scope of Founder authority and ensure it aligns with Jeffe's operational needs while protecting minority member interests as investors come onboard.</w:t>
      </w:r>
    </w:p>
    <w:p>
      <w:pPr>
        <w:pStyle w:val="Heading2"/>
        <w:spacing w:before="240" w:after="120"/>
      </w:pPr>
      <w:r>
        <w:rPr>
          <w:rFonts w:ascii="Calibri" w:cs="Calibri" w:eastAsia="Calibri" w:hAnsi="Calibri"/>
          <w:b/>
          <w:bCs/>
          <w:color w:val="333333"/>
          <w:sz w:val="26"/>
          <w:szCs w:val="26"/>
        </w:rPr>
        <w:t xml:space="preserve">4.4 Smart Contract Governance</w:t>
      </w:r>
    </w:p>
    <w:p>
      <w:pPr>
        <w:spacing w:after="120"/>
        <w:jc w:val="left"/>
      </w:pPr>
      <w:r>
        <w:rPr>
          <w:rFonts w:ascii="Calibri" w:cs="Calibri" w:eastAsia="Calibri" w:hAnsi="Calibri"/>
          <w:color w:val="333333"/>
          <w:sz w:val="22"/>
          <w:szCs w:val="22"/>
        </w:rPr>
        <w:t xml:space="preserve">Per W.S. 17-31-106(b), in the event of conflict between the Governance Smart Contract and this Agreement, the Smart Contract shall control for on-chain governance matters. This Agreement controls for off-chain governance matters, legal obligations, and matters not addressed by the Smart Contract.</w:t>
      </w:r>
    </w:p>
    <w:p>
      <w:pPr>
        <w:pStyle w:val="Heading1"/>
        <w:spacing w:before="300" w:after="150"/>
      </w:pPr>
      <w:r>
        <w:rPr>
          <w:rFonts w:ascii="Calibri" w:cs="Calibri" w:eastAsia="Calibri" w:hAnsi="Calibri"/>
          <w:b/>
          <w:bCs/>
          <w:color w:val="D4A017"/>
          <w:sz w:val="32"/>
          <w:szCs w:val="32"/>
        </w:rPr>
        <w:t xml:space="preserve">Article 5: Capital Contributions and Treasury</w:t>
      </w:r>
    </w:p>
    <w:p>
      <w:pPr>
        <w:pStyle w:val="Heading2"/>
        <w:spacing w:before="240" w:after="120"/>
      </w:pPr>
      <w:r>
        <w:rPr>
          <w:rFonts w:ascii="Calibri" w:cs="Calibri" w:eastAsia="Calibri" w:hAnsi="Calibri"/>
          <w:b/>
          <w:bCs/>
          <w:color w:val="333333"/>
          <w:sz w:val="26"/>
          <w:szCs w:val="26"/>
        </w:rPr>
        <w:t xml:space="preserve">5.1 Initial Capital</w:t>
      </w:r>
    </w:p>
    <w:p>
      <w:pPr>
        <w:spacing w:after="120"/>
        <w:jc w:val="left"/>
      </w:pPr>
      <w:r>
        <w:rPr>
          <w:rFonts w:ascii="Calibri" w:cs="Calibri" w:eastAsia="Calibri" w:hAnsi="Calibri"/>
          <w:color w:val="333333"/>
          <w:sz w:val="22"/>
          <w:szCs w:val="22"/>
        </w:rPr>
        <w:t xml:space="preserve">The Founder Member shall make initial capital contributions as determined by the Founder Member. Additional capital contributions may be made by Members on a voluntary basis or as required by Majority Vote for specific purposes.</w:t>
      </w:r>
    </w:p>
    <w:p>
      <w:pPr>
        <w:pStyle w:val="Heading2"/>
        <w:spacing w:before="240" w:after="120"/>
      </w:pPr>
      <w:r>
        <w:rPr>
          <w:rFonts w:ascii="Calibri" w:cs="Calibri" w:eastAsia="Calibri" w:hAnsi="Calibri"/>
          <w:b/>
          <w:bCs/>
          <w:color w:val="333333"/>
          <w:sz w:val="26"/>
          <w:szCs w:val="26"/>
        </w:rPr>
        <w:t xml:space="preserve">5.2 Bitcoin Treasury</w:t>
      </w:r>
    </w:p>
    <w:p>
      <w:pPr>
        <w:spacing w:after="120"/>
        <w:jc w:val="left"/>
      </w:pPr>
      <w:r>
        <w:rPr>
          <w:rFonts w:ascii="Calibri" w:cs="Calibri" w:eastAsia="Calibri" w:hAnsi="Calibri"/>
          <w:color w:val="333333"/>
          <w:sz w:val="22"/>
          <w:szCs w:val="22"/>
        </w:rPr>
        <w:t xml:space="preserve">The Company shall maintain a multi-asset digital treasury managed through multi-signature wallets requiring at least two-of-three (2/3) signatories. The treasury shall include: (a) Bitcoin held as a long-term strategic reserve; (b) AVAX tokens staked as an Avalanche validator node to secure the network on which Wyoming’s Frontier Stable Token (FRNT) operates; and (c) FRNT and/or other stablecoins for operational liquidity. Disbursements from the treasury exceeding $10,000 equivalent require Majority Vote approval.</w:t>
      </w:r>
    </w:p>
    <w:p>
      <w:pPr>
        <w:pStyle w:val="Heading2"/>
        <w:spacing w:before="240" w:after="120"/>
      </w:pPr>
      <w:r>
        <w:rPr>
          <w:rFonts w:ascii="Calibri" w:cs="Calibri" w:eastAsia="Calibri" w:hAnsi="Calibri"/>
          <w:b/>
          <w:bCs/>
          <w:color w:val="333333"/>
          <w:sz w:val="26"/>
          <w:szCs w:val="26"/>
        </w:rPr>
        <w:t xml:space="preserve">5.3 Operational Accounts</w:t>
      </w:r>
    </w:p>
    <w:p>
      <w:pPr>
        <w:spacing w:after="120"/>
        <w:jc w:val="left"/>
      </w:pPr>
      <w:r>
        <w:rPr>
          <w:rFonts w:ascii="Calibri" w:cs="Calibri" w:eastAsia="Calibri" w:hAnsi="Calibri"/>
          <w:color w:val="333333"/>
          <w:sz w:val="22"/>
          <w:szCs w:val="22"/>
        </w:rPr>
        <w:t xml:space="preserve">The Company shall maintain operational fiat and stablecoin accounts for day-to-day business operations. The Founder Member is authorized to manage operational accounts during the Initial Operating Period.</w:t>
      </w:r>
    </w:p>
    <w:p>
      <w:pPr>
        <w:pStyle w:val="Heading2"/>
        <w:spacing w:before="240" w:after="120"/>
      </w:pPr>
      <w:r>
        <w:rPr>
          <w:rFonts w:ascii="Calibri" w:cs="Calibri" w:eastAsia="Calibri" w:hAnsi="Calibri"/>
          <w:b/>
          <w:bCs/>
          <w:color w:val="333333"/>
          <w:sz w:val="26"/>
          <w:szCs w:val="26"/>
        </w:rPr>
        <w:t xml:space="preserve">5.4 Distributions</w:t>
      </w:r>
    </w:p>
    <w:p>
      <w:pPr>
        <w:spacing w:after="120"/>
        <w:jc w:val="left"/>
      </w:pPr>
      <w:r>
        <w:rPr>
          <w:rFonts w:ascii="Calibri" w:cs="Calibri" w:eastAsia="Calibri" w:hAnsi="Calibri"/>
          <w:color w:val="333333"/>
          <w:sz w:val="22"/>
          <w:szCs w:val="22"/>
        </w:rPr>
        <w:t xml:space="preserve">Distributions to Members shall be made pro rata based on Governance Token holdings, as approved by Majority Vote. No distribution shall be made if it would cause the Company to be unable to pay its debts as they become due in the ordinary course of business.</w:t>
      </w:r>
    </w:p>
    <w:p>
      <w:pPr>
        <w:pStyle w:val="Heading1"/>
        <w:spacing w:before="300" w:after="150"/>
      </w:pPr>
      <w:r>
        <w:rPr>
          <w:rFonts w:ascii="Calibri" w:cs="Calibri" w:eastAsia="Calibri" w:hAnsi="Calibri"/>
          <w:b/>
          <w:bCs/>
          <w:color w:val="D4A017"/>
          <w:sz w:val="32"/>
          <w:szCs w:val="32"/>
        </w:rPr>
        <w:t xml:space="preserve">Article 6: Fiduciary Duties</w:t>
      </w:r>
    </w:p>
    <w:p>
      <w:pPr>
        <w:spacing w:after="120"/>
        <w:jc w:val="left"/>
      </w:pPr>
      <w:r>
        <w:rPr>
          <w:rFonts w:ascii="Calibri" w:cs="Calibri" w:eastAsia="Calibri" w:hAnsi="Calibri"/>
          <w:color w:val="333333"/>
          <w:sz w:val="22"/>
          <w:szCs w:val="22"/>
        </w:rPr>
        <w:t xml:space="preserve">Pursuant to W.S. 17-31-106(a), the fiduciary duties of Members are modified as follows:</w:t>
      </w:r>
    </w:p>
    <w:p>
      <w:pPr>
        <w:pStyle w:val="Heading2"/>
        <w:spacing w:before="240" w:after="120"/>
      </w:pPr>
      <w:r>
        <w:rPr>
          <w:rFonts w:ascii="Calibri" w:cs="Calibri" w:eastAsia="Calibri" w:hAnsi="Calibri"/>
          <w:b/>
          <w:bCs/>
          <w:color w:val="333333"/>
          <w:sz w:val="26"/>
          <w:szCs w:val="26"/>
        </w:rPr>
        <w:t xml:space="preserve">6.1 Duty of Care</w:t>
      </w:r>
    </w:p>
    <w:p>
      <w:pPr>
        <w:spacing w:after="120"/>
        <w:jc w:val="left"/>
      </w:pPr>
      <w:r>
        <w:rPr>
          <w:rFonts w:ascii="Calibri" w:cs="Calibri" w:eastAsia="Calibri" w:hAnsi="Calibri"/>
          <w:color w:val="333333"/>
          <w:sz w:val="22"/>
          <w:szCs w:val="22"/>
        </w:rPr>
        <w:t xml:space="preserve">Members and administrators owe a duty of care to act in good faith and with the care that a reasonably prudent person in a similar position would exercise under similar circumstances. This duty applies to off-chain actions and decisions.</w:t>
      </w:r>
    </w:p>
    <w:p>
      <w:pPr>
        <w:pStyle w:val="Heading2"/>
        <w:spacing w:before="240" w:after="120"/>
      </w:pPr>
      <w:r>
        <w:rPr>
          <w:rFonts w:ascii="Calibri" w:cs="Calibri" w:eastAsia="Calibri" w:hAnsi="Calibri"/>
          <w:b/>
          <w:bCs/>
          <w:color w:val="333333"/>
          <w:sz w:val="26"/>
          <w:szCs w:val="26"/>
        </w:rPr>
        <w:t xml:space="preserve">6.2 Duty of Loyalty</w:t>
      </w:r>
    </w:p>
    <w:p>
      <w:pPr>
        <w:spacing w:after="120"/>
        <w:jc w:val="left"/>
      </w:pPr>
      <w:r>
        <w:rPr>
          <w:rFonts w:ascii="Calibri" w:cs="Calibri" w:eastAsia="Calibri" w:hAnsi="Calibri"/>
          <w:color w:val="333333"/>
          <w:sz w:val="22"/>
          <w:szCs w:val="22"/>
        </w:rPr>
        <w:t xml:space="preserve">Members and administrators owe a duty of loyalty requiring them to act in the best interests of the Company and not to usurp Company opportunities or engage in self-dealing transactions without disclosure and approval.</w:t>
      </w:r>
    </w:p>
    <w:p>
      <w:pPr>
        <w:pStyle w:val="Heading2"/>
        <w:spacing w:before="240" w:after="120"/>
      </w:pPr>
      <w:r>
        <w:rPr>
          <w:rFonts w:ascii="Calibri" w:cs="Calibri" w:eastAsia="Calibri" w:hAnsi="Calibri"/>
          <w:b/>
          <w:bCs/>
          <w:color w:val="333333"/>
          <w:sz w:val="26"/>
          <w:szCs w:val="26"/>
        </w:rPr>
        <w:t xml:space="preserve">6.3 On-Chain Actions</w:t>
      </w:r>
    </w:p>
    <w:p>
      <w:pPr>
        <w:spacing w:after="120"/>
        <w:jc w:val="left"/>
      </w:pPr>
      <w:r>
        <w:rPr>
          <w:rFonts w:ascii="Calibri" w:cs="Calibri" w:eastAsia="Calibri" w:hAnsi="Calibri"/>
          <w:color w:val="333333"/>
          <w:sz w:val="22"/>
          <w:szCs w:val="22"/>
        </w:rPr>
        <w:t xml:space="preserve">Voting on Proposals through the Governance Smart Contract in accordance with the token holder's individual interest does not constitute a breach of fiduciary duty, as the democratic governance mechanism is the intended decision-making structure of the DAO.</w:t>
      </w:r>
    </w:p>
    <w:p>
      <w:pPr>
        <w:shd w:fill="E8F4FD" w:val="clear"/>
        <w:spacing w:before="80" w:after="80"/>
      </w:pPr>
      <w:r>
        <w:rPr>
          <w:rFonts w:ascii="Calibri" w:cs="Calibri" w:eastAsia="Calibri" w:hAnsi="Calibri"/>
          <w:b/>
          <w:bCs/>
          <w:i/>
          <w:iCs/>
          <w:color w:val="2563EB"/>
          <w:sz w:val="20"/>
          <w:szCs w:val="20"/>
        </w:rPr>
        <w:t xml:space="preserve">ATTORNEY NOTE: </w:t>
      </w:r>
      <w:r>
        <w:rPr>
          <w:rFonts w:ascii="Calibri" w:cs="Calibri" w:eastAsia="Calibri" w:hAnsi="Calibri"/>
          <w:i/>
          <w:iCs/>
          <w:color w:val="2563EB"/>
          <w:sz w:val="20"/>
          <w:szCs w:val="20"/>
        </w:rPr>
        <w:t xml:space="preserve">Fiduciary duty modifications under W.S. 17-31-106(a) should be reviewed carefully. The statute allows these duties to be 'defined, reduced, or eliminated' but the attorney should advise on the appropriate scope.</w:t>
      </w:r>
    </w:p>
    <w:p>
      <w:pPr>
        <w:pStyle w:val="Heading1"/>
        <w:spacing w:before="300" w:after="150"/>
      </w:pPr>
      <w:r>
        <w:rPr>
          <w:rFonts w:ascii="Calibri" w:cs="Calibri" w:eastAsia="Calibri" w:hAnsi="Calibri"/>
          <w:b/>
          <w:bCs/>
          <w:color w:val="D4A017"/>
          <w:sz w:val="32"/>
          <w:szCs w:val="32"/>
        </w:rPr>
        <w:t xml:space="preserve">Article 7: Records, Reporting, and Transparency</w:t>
      </w:r>
    </w:p>
    <w:p>
      <w:pPr>
        <w:spacing w:after="120"/>
        <w:jc w:val="left"/>
      </w:pPr>
      <w:r>
        <w:rPr>
          <w:rFonts w:ascii="Calibri" w:cs="Calibri" w:eastAsia="Calibri" w:hAnsi="Calibri"/>
          <w:color w:val="333333"/>
          <w:sz w:val="22"/>
          <w:szCs w:val="22"/>
        </w:rPr>
        <w:t xml:space="preserve">The Company shall maintain records as required by W.S. 17-29-305 and shall make the following information available to Members:</w:t>
      </w:r>
    </w:p>
    <w:p>
      <w:pPr>
        <w:pStyle w:val="ListParagraph"/>
        <w:numPr>
          <w:ilvl w:val="0"/>
          <w:numId w:val="2"/>
        </w:numPr>
        <w:spacing w:after="100"/>
      </w:pPr>
      <w:r>
        <w:rPr>
          <w:rFonts w:ascii="Calibri" w:cs="Calibri" w:eastAsia="Calibri" w:hAnsi="Calibri"/>
          <w:color w:val="333333"/>
          <w:sz w:val="22"/>
          <w:szCs w:val="22"/>
        </w:rPr>
        <w:t xml:space="preserve">Current Articles of Organization and all amendments.</w:t>
      </w:r>
    </w:p>
    <w:p>
      <w:pPr>
        <w:pStyle w:val="ListParagraph"/>
        <w:numPr>
          <w:ilvl w:val="0"/>
          <w:numId w:val="2"/>
        </w:numPr>
        <w:spacing w:after="100"/>
      </w:pPr>
      <w:r>
        <w:rPr>
          <w:rFonts w:ascii="Calibri" w:cs="Calibri" w:eastAsia="Calibri" w:hAnsi="Calibri"/>
          <w:color w:val="333333"/>
          <w:sz w:val="22"/>
          <w:szCs w:val="22"/>
        </w:rPr>
        <w:t xml:space="preserve">This Operating Agreement and all amendments.</w:t>
      </w:r>
    </w:p>
    <w:p>
      <w:pPr>
        <w:pStyle w:val="ListParagraph"/>
        <w:numPr>
          <w:ilvl w:val="0"/>
          <w:numId w:val="2"/>
        </w:numPr>
        <w:spacing w:after="100"/>
      </w:pPr>
      <w:r>
        <w:rPr>
          <w:rFonts w:ascii="Calibri" w:cs="Calibri" w:eastAsia="Calibri" w:hAnsi="Calibri"/>
          <w:color w:val="333333"/>
          <w:sz w:val="22"/>
          <w:szCs w:val="22"/>
        </w:rPr>
        <w:t xml:space="preserve">The Governance Smart Contract source code and deployment address.</w:t>
      </w:r>
    </w:p>
    <w:p>
      <w:pPr>
        <w:pStyle w:val="ListParagraph"/>
        <w:numPr>
          <w:ilvl w:val="0"/>
          <w:numId w:val="2"/>
        </w:numPr>
        <w:spacing w:after="100"/>
      </w:pPr>
      <w:r>
        <w:rPr>
          <w:rFonts w:ascii="Calibri" w:cs="Calibri" w:eastAsia="Calibri" w:hAnsi="Calibri"/>
          <w:color w:val="333333"/>
          <w:sz w:val="22"/>
          <w:szCs w:val="22"/>
        </w:rPr>
        <w:t xml:space="preserve">Financial statements prepared at least annually.</w:t>
      </w:r>
    </w:p>
    <w:p>
      <w:pPr>
        <w:pStyle w:val="ListParagraph"/>
        <w:numPr>
          <w:ilvl w:val="0"/>
          <w:numId w:val="2"/>
        </w:numPr>
        <w:spacing w:after="100"/>
      </w:pPr>
      <w:r>
        <w:rPr>
          <w:rFonts w:ascii="Calibri" w:cs="Calibri" w:eastAsia="Calibri" w:hAnsi="Calibri"/>
          <w:color w:val="333333"/>
          <w:sz w:val="22"/>
          <w:szCs w:val="22"/>
        </w:rPr>
        <w:t xml:space="preserve">On-chain governance records (all Proposals, votes, and outcomes).</w:t>
      </w:r>
    </w:p>
    <w:p>
      <w:pPr>
        <w:pStyle w:val="ListParagraph"/>
        <w:numPr>
          <w:ilvl w:val="0"/>
          <w:numId w:val="2"/>
        </w:numPr>
        <w:spacing w:after="100"/>
      </w:pPr>
      <w:r>
        <w:rPr>
          <w:rFonts w:ascii="Calibri" w:cs="Calibri" w:eastAsia="Calibri" w:hAnsi="Calibri"/>
          <w:color w:val="333333"/>
          <w:sz w:val="22"/>
          <w:szCs w:val="22"/>
        </w:rPr>
        <w:t xml:space="preserve">Tax returns and filings.</w:t>
      </w:r>
    </w:p>
    <w:p>
      <w:pPr>
        <w:pStyle w:val="ListParagraph"/>
        <w:numPr>
          <w:ilvl w:val="0"/>
          <w:numId w:val="2"/>
        </w:numPr>
        <w:spacing w:after="100"/>
      </w:pPr>
      <w:r>
        <w:rPr>
          <w:rFonts w:ascii="Calibri" w:cs="Calibri" w:eastAsia="Calibri" w:hAnsi="Calibri"/>
          <w:color w:val="333333"/>
          <w:sz w:val="22"/>
          <w:szCs w:val="22"/>
        </w:rPr>
        <w:t xml:space="preserve">A register of Members and their token holdings.</w:t>
      </w:r>
    </w:p>
    <w:p>
      <w:pPr>
        <w:pStyle w:val="Heading1"/>
        <w:spacing w:before="300" w:after="150"/>
      </w:pPr>
      <w:r>
        <w:rPr>
          <w:rFonts w:ascii="Calibri" w:cs="Calibri" w:eastAsia="Calibri" w:hAnsi="Calibri"/>
          <w:b/>
          <w:bCs/>
          <w:color w:val="D4A017"/>
          <w:sz w:val="32"/>
          <w:szCs w:val="32"/>
        </w:rPr>
        <w:t xml:space="preserve">Article 8: Indemnification</w:t>
      </w:r>
    </w:p>
    <w:p>
      <w:pPr>
        <w:spacing w:after="120"/>
        <w:jc w:val="left"/>
      </w:pPr>
      <w:r>
        <w:rPr>
          <w:rFonts w:ascii="Calibri" w:cs="Calibri" w:eastAsia="Calibri" w:hAnsi="Calibri"/>
          <w:color w:val="333333"/>
          <w:sz w:val="22"/>
          <w:szCs w:val="22"/>
        </w:rPr>
        <w:t xml:space="preserve">The Company shall indemnify and hold harmless each Member, manager, officer, and administrator from and against any losses, claims, damages, liabilities, and expenses (including reasonable attorney fees) arising from any action taken in good faith on behalf of the Company, to the fullest extent permitted by Wyoming law.</w:t>
      </w:r>
    </w:p>
    <w:p>
      <w:pPr>
        <w:pStyle w:val="Heading1"/>
        <w:spacing w:before="300" w:after="150"/>
      </w:pPr>
      <w:r>
        <w:rPr>
          <w:rFonts w:ascii="Calibri" w:cs="Calibri" w:eastAsia="Calibri" w:hAnsi="Calibri"/>
          <w:b/>
          <w:bCs/>
          <w:color w:val="D4A017"/>
          <w:sz w:val="32"/>
          <w:szCs w:val="32"/>
        </w:rPr>
        <w:t xml:space="preserve">Article 9: Dissolution and Winding Up</w:t>
      </w:r>
    </w:p>
    <w:p>
      <w:pPr>
        <w:spacing w:after="120"/>
        <w:jc w:val="left"/>
      </w:pPr>
      <w:r>
        <w:rPr>
          <w:rFonts w:ascii="Calibri" w:cs="Calibri" w:eastAsia="Calibri" w:hAnsi="Calibri"/>
          <w:color w:val="333333"/>
          <w:sz w:val="22"/>
          <w:szCs w:val="22"/>
        </w:rPr>
        <w:t xml:space="preserve">The Company may be dissolved upon the occurrence of any of the following:</w:t>
      </w:r>
    </w:p>
    <w:p>
      <w:pPr>
        <w:pStyle w:val="ListParagraph"/>
        <w:numPr>
          <w:ilvl w:val="0"/>
          <w:numId w:val="2"/>
        </w:numPr>
        <w:spacing w:after="100"/>
      </w:pPr>
      <w:r>
        <w:rPr>
          <w:rFonts w:ascii="Calibri" w:cs="Calibri" w:eastAsia="Calibri" w:hAnsi="Calibri"/>
          <w:color w:val="333333"/>
          <w:sz w:val="22"/>
          <w:szCs w:val="22"/>
        </w:rPr>
        <w:t xml:space="preserve">A Supermajority Vote of Members to dissolve, conducted through the Governance Smart Contract.</w:t>
      </w:r>
    </w:p>
    <w:p>
      <w:pPr>
        <w:pStyle w:val="ListParagraph"/>
        <w:numPr>
          <w:ilvl w:val="0"/>
          <w:numId w:val="2"/>
        </w:numPr>
        <w:spacing w:after="100"/>
      </w:pPr>
      <w:r>
        <w:rPr>
          <w:rFonts w:ascii="Calibri" w:cs="Calibri" w:eastAsia="Calibri" w:hAnsi="Calibri"/>
          <w:color w:val="333333"/>
          <w:sz w:val="22"/>
          <w:szCs w:val="22"/>
        </w:rPr>
        <w:t xml:space="preserve">Entry of a decree of judicial dissolution under W.S. 17-29-701.</w:t>
      </w:r>
    </w:p>
    <w:p>
      <w:pPr>
        <w:pStyle w:val="ListParagraph"/>
        <w:numPr>
          <w:ilvl w:val="0"/>
          <w:numId w:val="2"/>
        </w:numPr>
        <w:spacing w:after="100"/>
      </w:pPr>
      <w:r>
        <w:rPr>
          <w:rFonts w:ascii="Calibri" w:cs="Calibri" w:eastAsia="Calibri" w:hAnsi="Calibri"/>
          <w:color w:val="333333"/>
          <w:sz w:val="22"/>
          <w:szCs w:val="22"/>
        </w:rPr>
        <w:t xml:space="preserve">The occurrence of events specified in the Governance Smart Contract triggering automatic dissolution.</w:t>
      </w:r>
    </w:p>
    <w:p>
      <w:pPr>
        <w:spacing w:after="120"/>
        <w:jc w:val="left"/>
      </w:pPr>
      <w:r>
        <w:rPr>
          <w:rFonts w:ascii="Calibri" w:cs="Calibri" w:eastAsia="Calibri" w:hAnsi="Calibri"/>
          <w:color w:val="333333"/>
          <w:sz w:val="22"/>
          <w:szCs w:val="22"/>
        </w:rPr>
        <w:t xml:space="preserve">Upon dissolution, the Company shall wind up its affairs, pay all debts and obligations, distribute remaining assets to Members pro rata based on token holdings, and file Articles of Dissolution with the Wyoming Secretary of State.</w:t>
      </w:r>
    </w:p>
    <w:p>
      <w:pPr>
        <w:pStyle w:val="Heading1"/>
        <w:spacing w:before="300" w:after="150"/>
      </w:pPr>
      <w:r>
        <w:rPr>
          <w:rFonts w:ascii="Calibri" w:cs="Calibri" w:eastAsia="Calibri" w:hAnsi="Calibri"/>
          <w:b/>
          <w:bCs/>
          <w:color w:val="D4A017"/>
          <w:sz w:val="32"/>
          <w:szCs w:val="32"/>
        </w:rPr>
        <w:t xml:space="preserve">Article 10: Miscellaneous Provisions</w:t>
      </w:r>
    </w:p>
    <w:p>
      <w:pPr>
        <w:pStyle w:val="Heading2"/>
        <w:spacing w:before="240" w:after="120"/>
      </w:pPr>
      <w:r>
        <w:rPr>
          <w:rFonts w:ascii="Calibri" w:cs="Calibri" w:eastAsia="Calibri" w:hAnsi="Calibri"/>
          <w:b/>
          <w:bCs/>
          <w:color w:val="333333"/>
          <w:sz w:val="26"/>
          <w:szCs w:val="26"/>
        </w:rPr>
        <w:t xml:space="preserve">10.1 Governing Law</w:t>
      </w:r>
    </w:p>
    <w:p>
      <w:pPr>
        <w:spacing w:after="120"/>
        <w:jc w:val="left"/>
      </w:pPr>
      <w:r>
        <w:rPr>
          <w:rFonts w:ascii="Calibri" w:cs="Calibri" w:eastAsia="Calibri" w:hAnsi="Calibri"/>
          <w:color w:val="333333"/>
          <w:sz w:val="22"/>
          <w:szCs w:val="22"/>
        </w:rPr>
        <w:t xml:space="preserve">This Agreement shall be governed by and construed in accordance with the laws of the State of Wyoming, including the Wyoming LLC Act and DAO Supplement.</w:t>
      </w:r>
    </w:p>
    <w:p>
      <w:pPr>
        <w:pStyle w:val="Heading2"/>
        <w:spacing w:before="240" w:after="120"/>
      </w:pPr>
      <w:r>
        <w:rPr>
          <w:rFonts w:ascii="Calibri" w:cs="Calibri" w:eastAsia="Calibri" w:hAnsi="Calibri"/>
          <w:b/>
          <w:bCs/>
          <w:color w:val="333333"/>
          <w:sz w:val="26"/>
          <w:szCs w:val="26"/>
        </w:rPr>
        <w:t xml:space="preserve">10.2 Dispute Resolution</w:t>
      </w:r>
    </w:p>
    <w:p>
      <w:pPr>
        <w:spacing w:after="120"/>
        <w:jc w:val="left"/>
      </w:pPr>
      <w:r>
        <w:rPr>
          <w:rFonts w:ascii="Calibri" w:cs="Calibri" w:eastAsia="Calibri" w:hAnsi="Calibri"/>
          <w:color w:val="333333"/>
          <w:sz w:val="22"/>
          <w:szCs w:val="22"/>
        </w:rPr>
        <w:t xml:space="preserve">Any dispute arising under this Agreement shall first be submitted to mediation. If mediation fails, disputes shall be resolved by binding arbitration in accordance with the rules of the American Arbitration Association, with the arbitration conducted in Cheyenne, Wyoming.</w:t>
      </w:r>
    </w:p>
    <w:p>
      <w:pPr>
        <w:pStyle w:val="Heading2"/>
        <w:spacing w:before="240" w:after="120"/>
      </w:pPr>
      <w:r>
        <w:rPr>
          <w:rFonts w:ascii="Calibri" w:cs="Calibri" w:eastAsia="Calibri" w:hAnsi="Calibri"/>
          <w:b/>
          <w:bCs/>
          <w:color w:val="333333"/>
          <w:sz w:val="26"/>
          <w:szCs w:val="26"/>
        </w:rPr>
        <w:t xml:space="preserve">10.3 Amendments</w:t>
      </w:r>
    </w:p>
    <w:p>
      <w:pPr>
        <w:spacing w:after="120"/>
        <w:jc w:val="left"/>
      </w:pPr>
      <w:r>
        <w:rPr>
          <w:rFonts w:ascii="Calibri" w:cs="Calibri" w:eastAsia="Calibri" w:hAnsi="Calibri"/>
          <w:color w:val="333333"/>
          <w:sz w:val="22"/>
          <w:szCs w:val="22"/>
        </w:rPr>
        <w:t xml:space="preserve">This Agreement may be amended only by Supermajority Vote of the Members, with amendments recorded on-chain where applicable.</w:t>
      </w:r>
    </w:p>
    <w:p>
      <w:pPr>
        <w:pStyle w:val="Heading2"/>
        <w:spacing w:before="240" w:after="120"/>
      </w:pPr>
      <w:r>
        <w:rPr>
          <w:rFonts w:ascii="Calibri" w:cs="Calibri" w:eastAsia="Calibri" w:hAnsi="Calibri"/>
          <w:b/>
          <w:bCs/>
          <w:color w:val="333333"/>
          <w:sz w:val="26"/>
          <w:szCs w:val="26"/>
        </w:rPr>
        <w:t xml:space="preserve">10.4 Severability</w:t>
      </w:r>
    </w:p>
    <w:p>
      <w:pPr>
        <w:spacing w:after="120"/>
        <w:jc w:val="left"/>
      </w:pPr>
      <w:r>
        <w:rPr>
          <w:rFonts w:ascii="Calibri" w:cs="Calibri" w:eastAsia="Calibri" w:hAnsi="Calibri"/>
          <w:color w:val="333333"/>
          <w:sz w:val="22"/>
          <w:szCs w:val="22"/>
        </w:rPr>
        <w:t xml:space="preserve">If any provision of this Agreement is held to be invalid or unenforceable, the remaining provisions shall remain in full force and effect.</w:t>
      </w:r>
    </w:p>
    <w:p>
      <w:pPr>
        <w:pStyle w:val="Heading2"/>
        <w:spacing w:before="240" w:after="120"/>
      </w:pPr>
      <w:r>
        <w:rPr>
          <w:rFonts w:ascii="Calibri" w:cs="Calibri" w:eastAsia="Calibri" w:hAnsi="Calibri"/>
          <w:b/>
          <w:bCs/>
          <w:color w:val="333333"/>
          <w:sz w:val="26"/>
          <w:szCs w:val="26"/>
        </w:rPr>
        <w:t xml:space="preserve">10.5 Entire Agreement</w:t>
      </w:r>
    </w:p>
    <w:p>
      <w:pPr>
        <w:spacing w:after="120"/>
        <w:jc w:val="left"/>
      </w:pPr>
      <w:r>
        <w:rPr>
          <w:rFonts w:ascii="Calibri" w:cs="Calibri" w:eastAsia="Calibri" w:hAnsi="Calibri"/>
          <w:color w:val="333333"/>
          <w:sz w:val="22"/>
          <w:szCs w:val="22"/>
        </w:rPr>
        <w:t xml:space="preserve">This Agreement, together with the Articles of Organization and the Governance Smart Contract, constitutes the entire agreement of the Members regarding the Company.</w:t>
      </w:r>
    </w:p>
    <w:p>
      <w:pPr>
        <w:pStyle w:val="Heading2"/>
        <w:spacing w:before="240" w:after="120"/>
      </w:pPr>
      <w:r>
        <w:rPr>
          <w:rFonts w:ascii="Calibri" w:cs="Calibri" w:eastAsia="Calibri" w:hAnsi="Calibri"/>
          <w:b/>
          <w:bCs/>
          <w:color w:val="333333"/>
          <w:sz w:val="26"/>
          <w:szCs w:val="26"/>
        </w:rPr>
        <w:t xml:space="preserve">10.6 Tax Elections</w:t>
      </w:r>
    </w:p>
    <w:p>
      <w:pPr>
        <w:spacing w:after="120"/>
        <w:jc w:val="left"/>
      </w:pPr>
      <w:r>
        <w:rPr>
          <w:rFonts w:ascii="Calibri" w:cs="Calibri" w:eastAsia="Calibri" w:hAnsi="Calibri"/>
          <w:color w:val="333333"/>
          <w:sz w:val="22"/>
          <w:szCs w:val="22"/>
        </w:rPr>
        <w:t xml:space="preserve">The Company shall make such tax elections as the Members may determine by Majority Vote, including but not limited to elections under Subchapter K of the Internal Revenue Code.</w:t>
      </w:r>
    </w:p>
    <w:p>
      <w:pPr>
        <w:shd w:fill="E8F4FD" w:val="clear"/>
        <w:spacing w:before="80" w:after="80"/>
      </w:pPr>
      <w:r>
        <w:rPr>
          <w:rFonts w:ascii="Calibri" w:cs="Calibri" w:eastAsia="Calibri" w:hAnsi="Calibri"/>
          <w:b/>
          <w:bCs/>
          <w:i/>
          <w:iCs/>
          <w:color w:val="2563EB"/>
          <w:sz w:val="20"/>
          <w:szCs w:val="20"/>
        </w:rPr>
        <w:t xml:space="preserve">ATTORNEY NOTE: </w:t>
      </w:r>
      <w:r>
        <w:rPr>
          <w:rFonts w:ascii="Calibri" w:cs="Calibri" w:eastAsia="Calibri" w:hAnsi="Calibri"/>
          <w:i/>
          <w:iCs/>
          <w:color w:val="2563EB"/>
          <w:sz w:val="20"/>
          <w:szCs w:val="20"/>
        </w:rPr>
        <w:t xml:space="preserve">Tax counsel should advise on optimal entity classification (disregarded entity, partnership, or corporate taxation) based on the membership structure and fundraising plans. Bitcoin treasury holdings create specific tax reporting obligations (IRS Notice 2014-21, Rev. Rul. 2019-24).</w:t>
      </w:r>
    </w:p>
    <w:p>
      <w:r>
        <w:br w:type="page"/>
      </w:r>
    </w:p>
    <w:p>
      <w:pPr>
        <w:pStyle w:val="Heading1"/>
        <w:spacing w:before="300" w:after="150"/>
      </w:pPr>
      <w:r>
        <w:rPr>
          <w:rFonts w:ascii="Calibri" w:cs="Calibri" w:eastAsia="Calibri" w:hAnsi="Calibri"/>
          <w:b/>
          <w:bCs/>
          <w:color w:val="D4A017"/>
          <w:sz w:val="32"/>
          <w:szCs w:val="32"/>
        </w:rPr>
        <w:t xml:space="preserve">Signature Page</w:t>
      </w:r>
    </w:p>
    <w:p>
      <w:pPr>
        <w:spacing w:after="120"/>
        <w:jc w:val="left"/>
      </w:pPr>
      <w:r>
        <w:rPr>
          <w:rFonts w:ascii="Calibri" w:cs="Calibri" w:eastAsia="Calibri" w:hAnsi="Calibri"/>
          <w:color w:val="333333"/>
          <w:sz w:val="22"/>
          <w:szCs w:val="22"/>
        </w:rPr>
        <w:t xml:space="preserve">IN WITNESS WHEREOF, the undersigned Members have executed this Operating Agreement effective as of the date first written above.</w:t>
      </w:r>
    </w:p>
    <w:p>
      <w:pPr>
        <w:spacing w:before="600"/>
      </w:pPr>
    </w:p>
    <w:p>
      <w:pPr>
        <w:spacing w:after="120"/>
        <w:jc w:val="left"/>
      </w:pPr>
      <w:r>
        <w:rPr>
          <w:rFonts w:ascii="Calibri" w:cs="Calibri" w:eastAsia="Calibri" w:hAnsi="Calibri"/>
          <w:color w:val="333333"/>
          <w:sz w:val="22"/>
          <w:szCs w:val="22"/>
        </w:rPr>
        <w:t xml:space="preserve">FOUNDER MEMBER:</w:t>
      </w:r>
    </w:p>
    <w:p>
      <w:pPr>
        <w:spacing w:before="400"/>
      </w:pPr>
    </w:p>
    <w:p>
      <w:r>
        <w:rPr>
          <w:rFonts w:ascii="Calibri" w:cs="Calibri" w:eastAsia="Calibri" w:hAnsi="Calibri"/>
          <w:sz w:val="22"/>
          <w:szCs w:val="22"/>
        </w:rPr>
        <w:t xml:space="preserve">________________________________________</w:t>
      </w:r>
    </w:p>
    <w:p>
      <w:pPr>
        <w:spacing w:after="100"/>
      </w:pPr>
      <w:r>
        <w:rPr>
          <w:rFonts w:ascii="Calibri" w:cs="Calibri" w:eastAsia="Calibri" w:hAnsi="Calibri"/>
          <w:b/>
          <w:bCs/>
          <w:color w:val="333333"/>
          <w:sz w:val="22"/>
          <w:szCs w:val="22"/>
        </w:rPr>
        <w:t xml:space="preserve">Geoffrey C. Lyle</w:t>
      </w:r>
      <w:r>
        <w:rPr>
          <w:rFonts w:ascii="Calibri" w:cs="Calibri" w:eastAsia="Calibri" w:hAnsi="Calibri"/>
          <w:color w:val="333333"/>
          <w:sz w:val="22"/>
          <w:szCs w:val="22"/>
        </w:rPr>
        <w:t xml:space="preserve"/>
      </w:r>
    </w:p>
    <w:p>
      <w:pPr>
        <w:spacing w:after="100"/>
      </w:pPr>
      <w:r>
        <w:rPr>
          <w:rFonts w:ascii="Calibri" w:cs="Calibri" w:eastAsia="Calibri" w:hAnsi="Calibri"/>
          <w:b/>
          <w:bCs/>
          <w:color w:val="333333"/>
          <w:sz w:val="22"/>
          <w:szCs w:val="22"/>
        </w:rPr>
        <w:t xml:space="preserve">Date: </w:t>
      </w:r>
      <w:r>
        <w:rPr>
          <w:rFonts w:ascii="Calibri" w:cs="Calibri" w:eastAsia="Calibri" w:hAnsi="Calibri"/>
          <w:color w:val="333333"/>
          <w:sz w:val="22"/>
          <w:szCs w:val="22"/>
        </w:rPr>
        <w:t xml:space="preserve">____________________</w:t>
      </w:r>
    </w:p>
    <w:p>
      <w:pPr>
        <w:spacing w:after="100"/>
      </w:pPr>
      <w:r>
        <w:rPr>
          <w:rFonts w:ascii="Calibri" w:cs="Calibri" w:eastAsia="Calibri" w:hAnsi="Calibri"/>
          <w:b/>
          <w:bCs/>
          <w:color w:val="333333"/>
          <w:sz w:val="22"/>
          <w:szCs w:val="22"/>
        </w:rPr>
        <w:t xml:space="preserve">Email: </w:t>
      </w:r>
      <w:r>
        <w:rPr>
          <w:rFonts w:ascii="Calibri" w:cs="Calibri" w:eastAsia="Calibri" w:hAnsi="Calibri"/>
          <w:color w:val="333333"/>
          <w:sz w:val="22"/>
          <w:szCs w:val="22"/>
        </w:rPr>
        <w:t xml:space="preserve">gclyle@growdirect.io</w:t>
      </w:r>
    </w:p>
    <w:p>
      <w:pPr>
        <w:spacing w:after="100"/>
      </w:pPr>
      <w:r>
        <w:rPr>
          <w:rFonts w:ascii="Calibri" w:cs="Calibri" w:eastAsia="Calibri" w:hAnsi="Calibri"/>
          <w:b/>
          <w:bCs/>
          <w:color w:val="333333"/>
          <w:sz w:val="22"/>
          <w:szCs w:val="22"/>
        </w:rPr>
        <w:t xml:space="preserve">Phone: </w:t>
      </w:r>
      <w:r>
        <w:rPr>
          <w:rFonts w:ascii="Calibri" w:cs="Calibri" w:eastAsia="Calibri" w:hAnsi="Calibri"/>
          <w:color w:val="333333"/>
          <w:sz w:val="22"/>
          <w:szCs w:val="22"/>
        </w:rPr>
        <w:t xml:space="preserve">310-905-9272</w:t>
      </w:r>
    </w:p>
    <w:p>
      <w:pPr>
        <w:spacing w:before="600"/>
      </w:pPr>
    </w:p>
    <w:p>
      <w:pPr>
        <w:spacing w:after="120"/>
        <w:jc w:val="left"/>
      </w:pPr>
      <w:r>
        <w:rPr>
          <w:rFonts w:ascii="Calibri" w:cs="Calibri" w:eastAsia="Calibri" w:hAnsi="Calibri"/>
          <w:color w:val="333333"/>
          <w:sz w:val="22"/>
          <w:szCs w:val="22"/>
        </w:rPr>
        <w:t xml:space="preserve">ADDITIONAL MEMBERS (as admitted per Article 3):</w:t>
      </w:r>
    </w:p>
    <w:p>
      <w:pPr>
        <w:spacing w:before="200"/>
      </w:pPr>
    </w:p>
    <w:p>
      <w:r>
        <w:rPr>
          <w:rFonts w:ascii="Calibri" w:cs="Calibri" w:eastAsia="Calibri" w:hAnsi="Calibri"/>
          <w:sz w:val="22"/>
          <w:szCs w:val="22"/>
        </w:rPr>
        <w:t xml:space="preserve">________________________________________</w:t>
      </w:r>
    </w:p>
    <w:p>
      <w:pPr>
        <w:spacing w:after="100"/>
      </w:pPr>
      <w:r>
        <w:rPr>
          <w:rFonts w:ascii="Calibri" w:cs="Calibri" w:eastAsia="Calibri" w:hAnsi="Calibri"/>
          <w:b/>
          <w:bCs/>
          <w:color w:val="333333"/>
          <w:sz w:val="22"/>
          <w:szCs w:val="22"/>
        </w:rPr>
        <w:t xml:space="preserve">Name: </w:t>
      </w:r>
      <w:r>
        <w:rPr>
          <w:rFonts w:ascii="Calibri" w:cs="Calibri" w:eastAsia="Calibri" w:hAnsi="Calibri"/>
          <w:color w:val="333333"/>
          <w:sz w:val="22"/>
          <w:szCs w:val="22"/>
        </w:rPr>
        <w:t xml:space="preserve">____________________</w:t>
      </w:r>
    </w:p>
    <w:p>
      <w:pPr>
        <w:spacing w:after="100"/>
      </w:pPr>
      <w:r>
        <w:rPr>
          <w:rFonts w:ascii="Calibri" w:cs="Calibri" w:eastAsia="Calibri" w:hAnsi="Calibri"/>
          <w:b/>
          <w:bCs/>
          <w:color w:val="333333"/>
          <w:sz w:val="22"/>
          <w:szCs w:val="22"/>
        </w:rPr>
        <w:t xml:space="preserve">Date: </w:t>
      </w:r>
      <w:r>
        <w:rPr>
          <w:rFonts w:ascii="Calibri" w:cs="Calibri" w:eastAsia="Calibri" w:hAnsi="Calibri"/>
          <w:color w:val="333333"/>
          <w:sz w:val="22"/>
          <w:szCs w:val="22"/>
        </w:rPr>
        <w:t xml:space="preserve">____________________</w:t>
      </w:r>
    </w:p>
    <w:p>
      <w:pPr>
        <w:spacing w:after="100"/>
      </w:pPr>
      <w:r>
        <w:rPr>
          <w:rFonts w:ascii="Calibri" w:cs="Calibri" w:eastAsia="Calibri" w:hAnsi="Calibri"/>
          <w:b/>
          <w:bCs/>
          <w:color w:val="333333"/>
          <w:sz w:val="22"/>
          <w:szCs w:val="22"/>
        </w:rPr>
        <w:t xml:space="preserve">Token Allocation: </w:t>
      </w:r>
      <w:r>
        <w:rPr>
          <w:rFonts w:ascii="Calibri" w:cs="Calibri" w:eastAsia="Calibri" w:hAnsi="Calibri"/>
          <w:color w:val="333333"/>
          <w:sz w:val="22"/>
          <w:szCs w:val="22"/>
        </w:rPr>
        <w:t xml:space="preserve">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GrowDirect DAO LLC | Confidential | 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999999"/>
        <w:sz w:val="18"/>
        <w:szCs w:val="18"/>
      </w:rPr>
      <w:t xml:space="preserve">GrowDirect DAO LLC — Operating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Calibri" w:cs="Calibri" w:eastAsia="Calibri" w:hAnsi="Calibri"/>
      <w:b/>
      <w:bCs/>
      <w:color w:val="D4A017"/>
      <w:sz w:val="32"/>
      <w:szCs w:val="32"/>
    </w:rPr>
  </w:style>
  <w:style w:type="paragraph" w:styleId="Heading2">
    <w:name w:val="Heading 2"/>
    <w:basedOn w:val="Normal"/>
    <w:next w:val="Normal"/>
    <w:qFormat/>
    <w:pPr>
      <w:spacing w:before="180" w:after="1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2026-02-20T01:20:13.289Z</dcterms:created>
  <dcterms:modified xsi:type="dcterms:W3CDTF">2026-02-20T01:20:13.289Z</dcterms:modified>
</cp:coreProperties>
</file>

<file path=docProps/custom.xml><?xml version="1.0" encoding="utf-8"?>
<Properties xmlns="http://schemas.openxmlformats.org/officeDocument/2006/custom-properties" xmlns:vt="http://schemas.openxmlformats.org/officeDocument/2006/docPropsVTypes"/>
</file>