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1729"/>
  <w:body>
    <w:p w14:paraId="773DE553" w14:textId="77777777" w:rsidR="006462FB" w:rsidRDefault="00314B85">
      <w:pPr>
        <w:spacing w:after="0"/>
        <w:rPr>
          <w:rFonts w:hint="eastAsia"/>
        </w:rPr>
      </w:pPr>
      <w:r>
        <w:rPr>
          <w:b/>
          <w:color w:val="888780"/>
          <w:spacing w:val="60"/>
          <w:sz w:val="18"/>
        </w:rPr>
        <w:t>RUPTIV / BLUE OCEAN STRATEGY / V6</w:t>
      </w:r>
    </w:p>
    <w:p w14:paraId="1C939691" w14:textId="77777777" w:rsidR="006462FB" w:rsidRDefault="006462FB">
      <w:pPr>
        <w:spacing w:after="7600"/>
        <w:rPr>
          <w:rFonts w:hint="eastAsia"/>
        </w:rPr>
      </w:pPr>
    </w:p>
    <w:p w14:paraId="6504046D" w14:textId="77777777" w:rsidR="006462FB" w:rsidRDefault="00314B85">
      <w:pPr>
        <w:spacing w:after="0"/>
        <w:rPr>
          <w:rFonts w:hint="eastAsia"/>
        </w:rPr>
      </w:pPr>
      <w:r>
        <w:rPr>
          <w:sz w:val="112"/>
        </w:rPr>
        <w:t>Blue Ocean</w:t>
      </w:r>
    </w:p>
    <w:p w14:paraId="662ABBF0" w14:textId="2D1670CD" w:rsidR="006462FB" w:rsidRDefault="00BB0102">
      <w:pPr>
        <w:spacing w:after="0"/>
        <w:rPr>
          <w:rFonts w:hint="eastAsia"/>
        </w:rPr>
      </w:pPr>
      <w:r>
        <w:rPr>
          <w:sz w:val="112"/>
        </w:rPr>
        <w:t>S</w:t>
      </w:r>
      <w:r w:rsidR="00314B85">
        <w:rPr>
          <w:sz w:val="112"/>
        </w:rPr>
        <w:t>trategy.</w:t>
      </w:r>
    </w:p>
    <w:p w14:paraId="1078C713" w14:textId="77777777" w:rsidR="006462FB" w:rsidRDefault="00314B85">
      <w:pPr>
        <w:pBdr>
          <w:bottom w:val="single" w:sz="24" w:space="1" w:color="F2C94C"/>
        </w:pBdr>
        <w:spacing w:before="160" w:after="160"/>
        <w:ind w:right="6500"/>
        <w:rPr>
          <w:rFonts w:hint="eastAsia"/>
        </w:rPr>
      </w:pPr>
      <w:r>
        <w:t xml:space="preserve"> </w:t>
      </w:r>
    </w:p>
    <w:p w14:paraId="0479D210" w14:textId="77777777" w:rsidR="006462FB" w:rsidRDefault="00314B85">
      <w:pPr>
        <w:spacing w:before="80" w:after="0"/>
        <w:rPr>
          <w:rFonts w:hint="eastAsia"/>
        </w:rPr>
      </w:pPr>
      <w:r>
        <w:rPr>
          <w:i/>
          <w:sz w:val="32"/>
        </w:rPr>
        <w:t>Market positioning and opportunity analysis.</w:t>
      </w:r>
    </w:p>
    <w:p w14:paraId="507C5F17"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2B7970B1" w14:textId="77777777">
        <w:tc>
          <w:tcPr>
            <w:tcW w:w="8640" w:type="dxa"/>
            <w:tcBorders>
              <w:top w:val="nil"/>
              <w:left w:val="nil"/>
              <w:bottom w:val="nil"/>
              <w:right w:val="nil"/>
            </w:tcBorders>
            <w:tcMar>
              <w:top w:w="0" w:type="dxa"/>
              <w:left w:w="0" w:type="dxa"/>
              <w:bottom w:w="40" w:type="dxa"/>
              <w:right w:w="0" w:type="dxa"/>
            </w:tcMar>
          </w:tcPr>
          <w:p w14:paraId="4E58E6CC" w14:textId="77777777" w:rsidR="006462FB" w:rsidRDefault="00314B85">
            <w:pPr>
              <w:spacing w:after="0"/>
              <w:rPr>
                <w:rFonts w:hint="eastAsia"/>
              </w:rPr>
            </w:pPr>
            <w:r>
              <w:rPr>
                <w:b/>
                <w:color w:val="888780"/>
                <w:spacing w:val="60"/>
                <w:sz w:val="18"/>
              </w:rPr>
              <w:lastRenderedPageBreak/>
              <w:t>01 / THE PROBLEM</w:t>
            </w:r>
          </w:p>
        </w:tc>
        <w:tc>
          <w:tcPr>
            <w:tcW w:w="1440" w:type="dxa"/>
            <w:tcBorders>
              <w:top w:val="nil"/>
              <w:left w:val="nil"/>
              <w:bottom w:val="nil"/>
              <w:right w:val="nil"/>
            </w:tcBorders>
            <w:tcMar>
              <w:top w:w="0" w:type="dxa"/>
              <w:left w:w="0" w:type="dxa"/>
              <w:bottom w:w="40" w:type="dxa"/>
              <w:right w:w="0" w:type="dxa"/>
            </w:tcMar>
          </w:tcPr>
          <w:p w14:paraId="439AFA19" w14:textId="77777777" w:rsidR="006462FB" w:rsidRDefault="00314B85">
            <w:pPr>
              <w:spacing w:after="0"/>
              <w:jc w:val="right"/>
              <w:rPr>
                <w:rFonts w:hint="eastAsia"/>
              </w:rPr>
            </w:pPr>
            <w:r>
              <w:rPr>
                <w:color w:val="888780"/>
                <w:sz w:val="18"/>
              </w:rPr>
              <w:t>02</w:t>
            </w:r>
          </w:p>
        </w:tc>
      </w:tr>
    </w:tbl>
    <w:p w14:paraId="6CE50772" w14:textId="77777777" w:rsidR="006462FB" w:rsidRDefault="00314B85">
      <w:pPr>
        <w:pBdr>
          <w:bottom w:val="single" w:sz="4" w:space="1" w:color="1F2D4A"/>
        </w:pBdr>
        <w:spacing w:after="240"/>
        <w:rPr>
          <w:rFonts w:hint="eastAsia"/>
        </w:rPr>
      </w:pPr>
      <w:r>
        <w:t xml:space="preserve"> </w:t>
      </w:r>
    </w:p>
    <w:p w14:paraId="295B95C1" w14:textId="77777777" w:rsidR="006462FB" w:rsidRDefault="00314B85">
      <w:pPr>
        <w:rPr>
          <w:rFonts w:hint="eastAsia"/>
        </w:rPr>
      </w:pPr>
      <w:r>
        <w:rPr>
          <w:b/>
          <w:color w:val="4FC3DC"/>
          <w:spacing w:val="60"/>
          <w:sz w:val="18"/>
        </w:rPr>
        <w:t>SECTION 01</w:t>
      </w:r>
    </w:p>
    <w:p w14:paraId="398CD1F9" w14:textId="77777777" w:rsidR="006462FB" w:rsidRDefault="00314B85">
      <w:pPr>
        <w:spacing w:after="120"/>
        <w:rPr>
          <w:rFonts w:hint="eastAsia"/>
        </w:rPr>
      </w:pPr>
      <w:r>
        <w:rPr>
          <w:sz w:val="48"/>
        </w:rPr>
        <w:t>The problem.</w:t>
      </w:r>
    </w:p>
    <w:p w14:paraId="6A601485" w14:textId="77777777" w:rsidR="006462FB" w:rsidRDefault="00314B85">
      <w:pPr>
        <w:spacing w:after="200"/>
        <w:rPr>
          <w:rFonts w:hint="eastAsia"/>
        </w:rPr>
      </w:pPr>
      <w:r>
        <w:rPr>
          <w:i/>
          <w:sz w:val="22"/>
        </w:rPr>
        <w:t>Global enterprises spent $684 billion on AI in 2025. Over 80% produced nothing measurable.</w:t>
      </w:r>
    </w:p>
    <w:p w14:paraId="03003512" w14:textId="77777777" w:rsidR="006462FB" w:rsidRDefault="00314B85">
      <w:pPr>
        <w:pBdr>
          <w:bottom w:val="single" w:sz="18" w:space="1" w:color="F2C94C"/>
        </w:pBdr>
        <w:spacing w:before="40" w:after="200"/>
        <w:ind w:right="5800"/>
        <w:rPr>
          <w:rFonts w:hint="eastAsia"/>
        </w:rPr>
      </w:pPr>
      <w:r>
        <w:t xml:space="preserve"> </w:t>
      </w:r>
    </w:p>
    <w:p w14:paraId="3A00A598" w14:textId="77777777" w:rsidR="006462FB" w:rsidRDefault="00314B85">
      <w:pPr>
        <w:spacing w:after="160"/>
        <w:rPr>
          <w:rFonts w:hint="eastAsia"/>
        </w:rPr>
      </w:pPr>
      <w:r>
        <w:t>The tools exist. The consultants exist. What is missing is someone who gets paid only when it works.</w:t>
      </w:r>
    </w:p>
    <w:p w14:paraId="45DD7896" w14:textId="77777777" w:rsidR="006462FB" w:rsidRDefault="00314B85">
      <w:pPr>
        <w:spacing w:after="240"/>
        <w:rPr>
          <w:rFonts w:hint="eastAsia"/>
        </w:rPr>
      </w:pPr>
      <w:r>
        <w:rPr>
          <w:color w:val="F2C94C"/>
          <w:sz w:val="26"/>
        </w:rPr>
        <w:t>That is the space Ruptiv occupies.</w:t>
      </w:r>
    </w:p>
    <w:p w14:paraId="5C67DE18" w14:textId="77777777" w:rsidR="006462FB" w:rsidRDefault="00314B85">
      <w:pPr>
        <w:spacing w:before="80" w:after="120"/>
        <w:rPr>
          <w:rFonts w:hint="eastAsia"/>
        </w:rPr>
      </w:pPr>
      <w:r>
        <w:rPr>
          <w:b/>
          <w:color w:val="4FC3DC"/>
          <w:spacing w:val="60"/>
          <w:sz w:val="18"/>
        </w:rPr>
        <w:t>THE SCALE OF FAILURE</w:t>
      </w:r>
    </w:p>
    <w:tbl>
      <w:tblPr>
        <w:tblW w:w="0" w:type="auto"/>
        <w:tblBorders>
          <w:top w:val="nil"/>
          <w:left w:val="nil"/>
          <w:bottom w:val="nil"/>
          <w:right w:val="nil"/>
          <w:insideH w:val="nil"/>
          <w:insideV w:val="nil"/>
        </w:tblBorders>
        <w:tblLook w:val="04A0" w:firstRow="1" w:lastRow="0" w:firstColumn="1" w:lastColumn="0" w:noHBand="0" w:noVBand="1"/>
      </w:tblPr>
      <w:tblGrid>
        <w:gridCol w:w="5026"/>
        <w:gridCol w:w="5024"/>
      </w:tblGrid>
      <w:tr w:rsidR="006462FB" w14:paraId="124273FE" w14:textId="77777777">
        <w:tc>
          <w:tcPr>
            <w:tcW w:w="5040" w:type="dxa"/>
            <w:tcBorders>
              <w:top w:val="nil"/>
              <w:left w:val="single" w:sz="24" w:space="0" w:color="F2C94C"/>
              <w:bottom w:val="nil"/>
              <w:right w:val="nil"/>
            </w:tcBorders>
            <w:shd w:val="clear" w:color="auto" w:fill="1F2D4A"/>
            <w:tcMar>
              <w:top w:w="140" w:type="dxa"/>
              <w:left w:w="180" w:type="dxa"/>
              <w:bottom w:w="140" w:type="dxa"/>
              <w:right w:w="180" w:type="dxa"/>
            </w:tcMar>
          </w:tcPr>
          <w:p w14:paraId="17C02320" w14:textId="77777777" w:rsidR="006462FB" w:rsidRDefault="00314B85">
            <w:pPr>
              <w:rPr>
                <w:rFonts w:hint="eastAsia"/>
              </w:rPr>
            </w:pPr>
            <w:r>
              <w:rPr>
                <w:color w:val="F2C94C"/>
                <w:sz w:val="48"/>
              </w:rPr>
              <w:t>80%</w:t>
            </w:r>
          </w:p>
          <w:p w14:paraId="41104563" w14:textId="77777777" w:rsidR="006462FB" w:rsidRDefault="00314B85">
            <w:pPr>
              <w:rPr>
                <w:rFonts w:hint="eastAsia"/>
              </w:rPr>
            </w:pPr>
            <w:r>
              <w:rPr>
                <w:sz w:val="18"/>
              </w:rPr>
              <w:t>of AI projects fail to deliver intended business value. Ruptiv's pre-agreed measurement model means failure is defined before work starts.</w:t>
            </w:r>
          </w:p>
          <w:p w14:paraId="2842BABD" w14:textId="77777777" w:rsidR="006462FB" w:rsidRDefault="00314B85">
            <w:pPr>
              <w:spacing w:after="0"/>
              <w:rPr>
                <w:rFonts w:hint="eastAsia"/>
              </w:rPr>
            </w:pPr>
            <w:r>
              <w:rPr>
                <w:i/>
                <w:color w:val="888780"/>
                <w:sz w:val="16"/>
              </w:rPr>
              <w:t>RAND / Pertama Partners, 2025</w:t>
            </w:r>
          </w:p>
        </w:tc>
        <w:tc>
          <w:tcPr>
            <w:tcW w:w="5040" w:type="dxa"/>
            <w:tcBorders>
              <w:top w:val="nil"/>
              <w:left w:val="single" w:sz="24" w:space="0" w:color="F2C94C"/>
              <w:bottom w:val="nil"/>
              <w:right w:val="nil"/>
            </w:tcBorders>
            <w:shd w:val="clear" w:color="auto" w:fill="1F2D4A"/>
            <w:tcMar>
              <w:top w:w="140" w:type="dxa"/>
              <w:left w:w="180" w:type="dxa"/>
              <w:bottom w:w="140" w:type="dxa"/>
              <w:right w:w="180" w:type="dxa"/>
            </w:tcMar>
          </w:tcPr>
          <w:p w14:paraId="23029AFC" w14:textId="77777777" w:rsidR="006462FB" w:rsidRDefault="00314B85">
            <w:pPr>
              <w:rPr>
                <w:rFonts w:hint="eastAsia"/>
              </w:rPr>
            </w:pPr>
            <w:r>
              <w:rPr>
                <w:color w:val="F2C94C"/>
                <w:sz w:val="48"/>
              </w:rPr>
              <w:t>95%</w:t>
            </w:r>
          </w:p>
          <w:p w14:paraId="36008379" w14:textId="77777777" w:rsidR="006462FB" w:rsidRDefault="00314B85">
            <w:pPr>
              <w:rPr>
                <w:rFonts w:hint="eastAsia"/>
              </w:rPr>
            </w:pPr>
            <w:r>
              <w:rPr>
                <w:sz w:val="18"/>
              </w:rPr>
              <w:t>of AI pilots produce zero measurable P&amp;L impact.</w:t>
            </w:r>
          </w:p>
          <w:p w14:paraId="4CC08F33" w14:textId="77777777" w:rsidR="006462FB" w:rsidRDefault="00314B85">
            <w:pPr>
              <w:spacing w:after="0"/>
              <w:rPr>
                <w:rFonts w:hint="eastAsia"/>
              </w:rPr>
            </w:pPr>
            <w:r>
              <w:rPr>
                <w:i/>
                <w:color w:val="888780"/>
                <w:sz w:val="16"/>
              </w:rPr>
              <w:t>MIT NANDA Initiative, 2025</w:t>
            </w:r>
          </w:p>
        </w:tc>
      </w:tr>
      <w:tr w:rsidR="006462FB" w14:paraId="5A84206D" w14:textId="77777777">
        <w:tc>
          <w:tcPr>
            <w:tcW w:w="5040" w:type="dxa"/>
            <w:tcBorders>
              <w:top w:val="nil"/>
              <w:left w:val="single" w:sz="24" w:space="0" w:color="F2C94C"/>
              <w:bottom w:val="nil"/>
              <w:right w:val="nil"/>
            </w:tcBorders>
            <w:shd w:val="clear" w:color="auto" w:fill="1F2D4A"/>
            <w:tcMar>
              <w:top w:w="140" w:type="dxa"/>
              <w:left w:w="180" w:type="dxa"/>
              <w:bottom w:w="140" w:type="dxa"/>
              <w:right w:w="180" w:type="dxa"/>
            </w:tcMar>
          </w:tcPr>
          <w:p w14:paraId="1A68904C" w14:textId="77777777" w:rsidR="006462FB" w:rsidRDefault="00314B85">
            <w:pPr>
              <w:rPr>
                <w:rFonts w:hint="eastAsia"/>
              </w:rPr>
            </w:pPr>
            <w:r>
              <w:rPr>
                <w:color w:val="F2C94C"/>
                <w:sz w:val="48"/>
              </w:rPr>
              <w:t>$7.2M</w:t>
            </w:r>
          </w:p>
          <w:p w14:paraId="38746FDA" w14:textId="77777777" w:rsidR="006462FB" w:rsidRDefault="00314B85">
            <w:pPr>
              <w:rPr>
                <w:rFonts w:hint="eastAsia"/>
              </w:rPr>
            </w:pPr>
            <w:r>
              <w:rPr>
                <w:sz w:val="18"/>
              </w:rPr>
              <w:t>average enterprise loss per failed AI initiative.</w:t>
            </w:r>
          </w:p>
          <w:p w14:paraId="65F3D988" w14:textId="77777777" w:rsidR="006462FB" w:rsidRDefault="00314B85">
            <w:pPr>
              <w:spacing w:after="0"/>
              <w:rPr>
                <w:rFonts w:hint="eastAsia"/>
              </w:rPr>
            </w:pPr>
            <w:r>
              <w:rPr>
                <w:i/>
                <w:color w:val="888780"/>
                <w:sz w:val="16"/>
              </w:rPr>
              <w:t>S&amp;P Global, 2025</w:t>
            </w:r>
          </w:p>
        </w:tc>
        <w:tc>
          <w:tcPr>
            <w:tcW w:w="5040" w:type="dxa"/>
            <w:tcBorders>
              <w:top w:val="nil"/>
              <w:left w:val="single" w:sz="24" w:space="0" w:color="F2C94C"/>
              <w:bottom w:val="nil"/>
              <w:right w:val="nil"/>
            </w:tcBorders>
            <w:shd w:val="clear" w:color="auto" w:fill="1F2D4A"/>
            <w:tcMar>
              <w:top w:w="140" w:type="dxa"/>
              <w:left w:w="180" w:type="dxa"/>
              <w:bottom w:w="140" w:type="dxa"/>
              <w:right w:w="180" w:type="dxa"/>
            </w:tcMar>
          </w:tcPr>
          <w:p w14:paraId="56ED205B" w14:textId="77777777" w:rsidR="006462FB" w:rsidRDefault="00314B85">
            <w:pPr>
              <w:rPr>
                <w:rFonts w:hint="eastAsia"/>
              </w:rPr>
            </w:pPr>
            <w:r>
              <w:rPr>
                <w:color w:val="F2C94C"/>
                <w:sz w:val="48"/>
              </w:rPr>
              <w:t>42%</w:t>
            </w:r>
          </w:p>
          <w:p w14:paraId="61FF16C0" w14:textId="77777777" w:rsidR="006462FB" w:rsidRDefault="00314B85">
            <w:pPr>
              <w:rPr>
                <w:rFonts w:hint="eastAsia"/>
              </w:rPr>
            </w:pPr>
            <w:r>
              <w:rPr>
                <w:sz w:val="18"/>
              </w:rPr>
              <w:t>of companies abandoned most AI initiatives in 2025, up from 17% in 2024.</w:t>
            </w:r>
          </w:p>
          <w:p w14:paraId="1218BFD6" w14:textId="77777777" w:rsidR="006462FB" w:rsidRDefault="00314B85">
            <w:pPr>
              <w:spacing w:after="0"/>
              <w:rPr>
                <w:rFonts w:hint="eastAsia"/>
              </w:rPr>
            </w:pPr>
            <w:r>
              <w:rPr>
                <w:i/>
                <w:color w:val="888780"/>
                <w:sz w:val="16"/>
              </w:rPr>
              <w:t>Deloitte, 2025</w:t>
            </w:r>
          </w:p>
        </w:tc>
      </w:tr>
    </w:tbl>
    <w:p w14:paraId="19DCCB78" w14:textId="77777777" w:rsidR="006462FB" w:rsidRDefault="006462FB">
      <w:pPr>
        <w:spacing w:after="160"/>
        <w:rPr>
          <w:rFonts w:hint="eastAsia"/>
        </w:rPr>
      </w:pPr>
    </w:p>
    <w:p w14:paraId="46767437" w14:textId="77777777" w:rsidR="006462FB" w:rsidRDefault="00314B85">
      <w:pPr>
        <w:spacing w:after="160"/>
        <w:rPr>
          <w:rFonts w:hint="eastAsia"/>
        </w:rPr>
      </w:pPr>
      <w:r>
        <w:t>To put that last number in context: abandonment of AI initiatives nearly tripled in a single year. McKinsey finds only 39% of organizations report any enterprise-level EBIT impact from AI at all.</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64102E0A"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49552F9B" w14:textId="77777777" w:rsidR="006462FB" w:rsidRDefault="00314B85">
            <w:pPr>
              <w:spacing w:after="0"/>
              <w:rPr>
                <w:rFonts w:hint="eastAsia"/>
              </w:rPr>
            </w:pPr>
            <w:r>
              <w:rPr>
                <w:sz w:val="24"/>
              </w:rPr>
              <w:t>The failure is not the technology. It is the delivery model. Nobody owns the outcome.</w:t>
            </w:r>
          </w:p>
        </w:tc>
      </w:tr>
    </w:tbl>
    <w:p w14:paraId="5BC32294" w14:textId="77777777" w:rsidR="006462FB" w:rsidRDefault="006462FB">
      <w:pPr>
        <w:rPr>
          <w:rFonts w:hint="eastAsia"/>
        </w:rPr>
      </w:pPr>
    </w:p>
    <w:p w14:paraId="681265A6"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23A42694" w14:textId="77777777">
        <w:tc>
          <w:tcPr>
            <w:tcW w:w="8640" w:type="dxa"/>
            <w:tcBorders>
              <w:top w:val="nil"/>
              <w:left w:val="nil"/>
              <w:bottom w:val="nil"/>
              <w:right w:val="nil"/>
            </w:tcBorders>
            <w:tcMar>
              <w:top w:w="0" w:type="dxa"/>
              <w:left w:w="0" w:type="dxa"/>
              <w:bottom w:w="40" w:type="dxa"/>
              <w:right w:w="0" w:type="dxa"/>
            </w:tcMar>
          </w:tcPr>
          <w:p w14:paraId="24D28200" w14:textId="77777777" w:rsidR="006462FB" w:rsidRDefault="00314B85">
            <w:pPr>
              <w:spacing w:after="0"/>
              <w:rPr>
                <w:rFonts w:hint="eastAsia"/>
              </w:rPr>
            </w:pPr>
            <w:r>
              <w:rPr>
                <w:b/>
                <w:color w:val="888780"/>
                <w:spacing w:val="60"/>
                <w:sz w:val="18"/>
              </w:rPr>
              <w:lastRenderedPageBreak/>
              <w:t>02 / WHERE RUPTIV SITS</w:t>
            </w:r>
          </w:p>
        </w:tc>
        <w:tc>
          <w:tcPr>
            <w:tcW w:w="1440" w:type="dxa"/>
            <w:tcBorders>
              <w:top w:val="nil"/>
              <w:left w:val="nil"/>
              <w:bottom w:val="nil"/>
              <w:right w:val="nil"/>
            </w:tcBorders>
            <w:tcMar>
              <w:top w:w="0" w:type="dxa"/>
              <w:left w:w="0" w:type="dxa"/>
              <w:bottom w:w="40" w:type="dxa"/>
              <w:right w:w="0" w:type="dxa"/>
            </w:tcMar>
          </w:tcPr>
          <w:p w14:paraId="3AD1F4AB" w14:textId="77777777" w:rsidR="006462FB" w:rsidRDefault="00314B85">
            <w:pPr>
              <w:spacing w:after="0"/>
              <w:jc w:val="right"/>
              <w:rPr>
                <w:rFonts w:hint="eastAsia"/>
              </w:rPr>
            </w:pPr>
            <w:r>
              <w:rPr>
                <w:color w:val="888780"/>
                <w:sz w:val="18"/>
              </w:rPr>
              <w:t>03</w:t>
            </w:r>
          </w:p>
        </w:tc>
      </w:tr>
    </w:tbl>
    <w:p w14:paraId="6B68C92A" w14:textId="77777777" w:rsidR="006462FB" w:rsidRDefault="00314B85">
      <w:pPr>
        <w:pBdr>
          <w:bottom w:val="single" w:sz="4" w:space="1" w:color="1F2D4A"/>
        </w:pBdr>
        <w:spacing w:after="240"/>
        <w:rPr>
          <w:rFonts w:hint="eastAsia"/>
        </w:rPr>
      </w:pPr>
      <w:r>
        <w:t xml:space="preserve"> </w:t>
      </w:r>
    </w:p>
    <w:p w14:paraId="2DFA4273" w14:textId="77777777" w:rsidR="006462FB" w:rsidRDefault="00314B85">
      <w:pPr>
        <w:rPr>
          <w:rFonts w:hint="eastAsia"/>
        </w:rPr>
      </w:pPr>
      <w:r>
        <w:rPr>
          <w:b/>
          <w:color w:val="4FC3DC"/>
          <w:spacing w:val="60"/>
          <w:sz w:val="18"/>
        </w:rPr>
        <w:t>SECTION 02</w:t>
      </w:r>
    </w:p>
    <w:p w14:paraId="74D408B8" w14:textId="77777777" w:rsidR="006462FB" w:rsidRDefault="00314B85">
      <w:pPr>
        <w:spacing w:after="120"/>
        <w:rPr>
          <w:rFonts w:hint="eastAsia"/>
        </w:rPr>
      </w:pPr>
      <w:r>
        <w:rPr>
          <w:sz w:val="48"/>
        </w:rPr>
        <w:t>Where Ruptiv sits.</w:t>
      </w:r>
    </w:p>
    <w:p w14:paraId="055F7DF9" w14:textId="77777777" w:rsidR="006462FB" w:rsidRDefault="00314B85">
      <w:pPr>
        <w:spacing w:after="200"/>
        <w:rPr>
          <w:rFonts w:hint="eastAsia"/>
        </w:rPr>
      </w:pPr>
      <w:r>
        <w:rPr>
          <w:i/>
          <w:sz w:val="22"/>
        </w:rPr>
        <w:t>McKinsey maps four positions in the agentic AI market. Ruptiv sits in the fourth: End-to-End Workflow Disruptor.</w:t>
      </w:r>
    </w:p>
    <w:p w14:paraId="3B706823" w14:textId="77777777" w:rsidR="006462FB" w:rsidRDefault="00314B85">
      <w:pPr>
        <w:pBdr>
          <w:bottom w:val="single" w:sz="18" w:space="1" w:color="F2C94C"/>
        </w:pBdr>
        <w:spacing w:before="40" w:after="200"/>
        <w:ind w:right="5800"/>
        <w:rPr>
          <w:rFonts w:hint="eastAsia"/>
        </w:rPr>
      </w:pPr>
      <w:r>
        <w:t xml:space="preserve"> </w:t>
      </w:r>
    </w:p>
    <w:p w14:paraId="6257E6C5" w14:textId="77777777" w:rsidR="006462FB" w:rsidRDefault="00314B85">
      <w:pPr>
        <w:spacing w:after="160"/>
        <w:rPr>
          <w:rFonts w:hint="eastAsia"/>
        </w:rPr>
      </w:pPr>
      <w:r>
        <w:t>The four positions differ in capability required, time to value, and what the client actually gets. End-to-End Workflow Disruptor is the hardest to hold. It requires domain expertise, real engineering depth, a proprietary platform, and cross-functional squads that run change management inside a client. Most players cannot do all four.</w:t>
      </w:r>
    </w:p>
    <w:p w14:paraId="613D0E86" w14:textId="77777777" w:rsidR="006462FB" w:rsidRDefault="00314B85">
      <w:pPr>
        <w:spacing w:after="200"/>
        <w:rPr>
          <w:rFonts w:hint="eastAsia"/>
        </w:rPr>
      </w:pPr>
      <w:r>
        <w:t>That is what Ruptiv does.</w:t>
      </w:r>
    </w:p>
    <w:tbl>
      <w:tblPr>
        <w:tblW w:w="0" w:type="auto"/>
        <w:tblBorders>
          <w:top w:val="nil"/>
          <w:left w:val="nil"/>
          <w:bottom w:val="nil"/>
          <w:right w:val="nil"/>
          <w:insideH w:val="nil"/>
          <w:insideV w:val="nil"/>
        </w:tblBorders>
        <w:tblLook w:val="04A0" w:firstRow="1" w:lastRow="0" w:firstColumn="1" w:lastColumn="0" w:noHBand="0" w:noVBand="1"/>
      </w:tblPr>
      <w:tblGrid>
        <w:gridCol w:w="2016"/>
        <w:gridCol w:w="2016"/>
        <w:gridCol w:w="2016"/>
        <w:gridCol w:w="2016"/>
        <w:gridCol w:w="2016"/>
      </w:tblGrid>
      <w:tr w:rsidR="006462FB" w14:paraId="67D2CBDF" w14:textId="77777777">
        <w:tc>
          <w:tcPr>
            <w:tcW w:w="2016" w:type="dxa"/>
            <w:tcMar>
              <w:top w:w="80" w:type="dxa"/>
              <w:left w:w="80" w:type="dxa"/>
              <w:bottom w:w="80" w:type="dxa"/>
              <w:right w:w="80" w:type="dxa"/>
            </w:tcMar>
          </w:tcPr>
          <w:p w14:paraId="7E63074A" w14:textId="77777777" w:rsidR="006462FB" w:rsidRDefault="00314B85">
            <w:pPr>
              <w:spacing w:after="0"/>
              <w:rPr>
                <w:rFonts w:hint="eastAsia"/>
              </w:rPr>
            </w:pPr>
            <w:r>
              <w:rPr>
                <w:b/>
                <w:color w:val="4FC3DC"/>
                <w:spacing w:val="50"/>
                <w:sz w:val="16"/>
              </w:rPr>
              <w:t>Key Factor</w:t>
            </w:r>
          </w:p>
        </w:tc>
        <w:tc>
          <w:tcPr>
            <w:tcW w:w="2016" w:type="dxa"/>
            <w:tcMar>
              <w:top w:w="80" w:type="dxa"/>
              <w:left w:w="80" w:type="dxa"/>
              <w:bottom w:w="80" w:type="dxa"/>
              <w:right w:w="80" w:type="dxa"/>
            </w:tcMar>
          </w:tcPr>
          <w:p w14:paraId="381B8F34" w14:textId="77777777" w:rsidR="006462FB" w:rsidRDefault="00314B85">
            <w:pPr>
              <w:spacing w:after="0"/>
              <w:rPr>
                <w:rFonts w:hint="eastAsia"/>
              </w:rPr>
            </w:pPr>
            <w:r>
              <w:rPr>
                <w:b/>
                <w:color w:val="4FC3DC"/>
                <w:spacing w:val="50"/>
                <w:sz w:val="16"/>
              </w:rPr>
              <w:t>Agentic AI</w:t>
            </w:r>
            <w:r>
              <w:rPr>
                <w:b/>
                <w:color w:val="4FC3DC"/>
                <w:spacing w:val="50"/>
                <w:sz w:val="16"/>
              </w:rPr>
              <w:br/>
              <w:t>Enabler</w:t>
            </w:r>
          </w:p>
        </w:tc>
        <w:tc>
          <w:tcPr>
            <w:tcW w:w="2016" w:type="dxa"/>
            <w:tcMar>
              <w:top w:w="80" w:type="dxa"/>
              <w:left w:w="80" w:type="dxa"/>
              <w:bottom w:w="80" w:type="dxa"/>
              <w:right w:w="80" w:type="dxa"/>
            </w:tcMar>
          </w:tcPr>
          <w:p w14:paraId="14519855" w14:textId="77777777" w:rsidR="006462FB" w:rsidRDefault="00314B85">
            <w:pPr>
              <w:spacing w:after="0"/>
              <w:rPr>
                <w:rFonts w:hint="eastAsia"/>
              </w:rPr>
            </w:pPr>
            <w:r>
              <w:rPr>
                <w:b/>
                <w:color w:val="4FC3DC"/>
                <w:spacing w:val="50"/>
                <w:sz w:val="16"/>
              </w:rPr>
              <w:t>Packaged Agent</w:t>
            </w:r>
            <w:r>
              <w:rPr>
                <w:b/>
                <w:color w:val="4FC3DC"/>
                <w:spacing w:val="50"/>
                <w:sz w:val="16"/>
              </w:rPr>
              <w:br/>
              <w:t>Implementer</w:t>
            </w:r>
          </w:p>
        </w:tc>
        <w:tc>
          <w:tcPr>
            <w:tcW w:w="2016" w:type="dxa"/>
            <w:tcMar>
              <w:top w:w="80" w:type="dxa"/>
              <w:left w:w="80" w:type="dxa"/>
              <w:bottom w:w="80" w:type="dxa"/>
              <w:right w:w="80" w:type="dxa"/>
            </w:tcMar>
          </w:tcPr>
          <w:p w14:paraId="194DB193" w14:textId="77777777" w:rsidR="006462FB" w:rsidRDefault="00314B85">
            <w:pPr>
              <w:spacing w:after="0"/>
              <w:rPr>
                <w:rFonts w:hint="eastAsia"/>
              </w:rPr>
            </w:pPr>
            <w:r>
              <w:rPr>
                <w:b/>
                <w:color w:val="4FC3DC"/>
                <w:spacing w:val="50"/>
                <w:sz w:val="16"/>
              </w:rPr>
              <w:t>Custom Agent</w:t>
            </w:r>
            <w:r>
              <w:rPr>
                <w:b/>
                <w:color w:val="4FC3DC"/>
                <w:spacing w:val="50"/>
                <w:sz w:val="16"/>
              </w:rPr>
              <w:br/>
              <w:t>Developer</w:t>
            </w:r>
          </w:p>
        </w:tc>
        <w:tc>
          <w:tcPr>
            <w:tcW w:w="2016" w:type="dxa"/>
            <w:tcMar>
              <w:top w:w="80" w:type="dxa"/>
              <w:left w:w="80" w:type="dxa"/>
              <w:bottom w:w="80" w:type="dxa"/>
              <w:right w:w="80" w:type="dxa"/>
            </w:tcMar>
          </w:tcPr>
          <w:p w14:paraId="54A20CD3" w14:textId="77777777" w:rsidR="006462FB" w:rsidRDefault="00314B85">
            <w:pPr>
              <w:spacing w:after="0"/>
              <w:rPr>
                <w:rFonts w:hint="eastAsia"/>
              </w:rPr>
            </w:pPr>
            <w:r>
              <w:rPr>
                <w:b/>
                <w:color w:val="F2C94C"/>
                <w:spacing w:val="50"/>
                <w:sz w:val="16"/>
              </w:rPr>
              <w:t>End-to-End Workflow</w:t>
            </w:r>
            <w:r>
              <w:rPr>
                <w:b/>
                <w:color w:val="F2C94C"/>
                <w:spacing w:val="50"/>
                <w:sz w:val="16"/>
              </w:rPr>
              <w:br/>
              <w:t>Disruptor</w:t>
            </w:r>
          </w:p>
        </w:tc>
      </w:tr>
      <w:tr w:rsidR="006462FB" w14:paraId="0D7A40AF" w14:textId="77777777">
        <w:tc>
          <w:tcPr>
            <w:tcW w:w="2016" w:type="dxa"/>
            <w:tcMar>
              <w:top w:w="80" w:type="dxa"/>
              <w:left w:w="80" w:type="dxa"/>
              <w:bottom w:w="80" w:type="dxa"/>
              <w:right w:w="80" w:type="dxa"/>
            </w:tcMar>
          </w:tcPr>
          <w:p w14:paraId="1CE42652" w14:textId="77777777" w:rsidR="006462FB" w:rsidRDefault="00314B85">
            <w:pPr>
              <w:spacing w:after="0"/>
              <w:rPr>
                <w:rFonts w:hint="eastAsia"/>
              </w:rPr>
            </w:pPr>
            <w:r>
              <w:rPr>
                <w:b/>
                <w:sz w:val="16"/>
              </w:rPr>
              <w:t>Domain expertise</w:t>
            </w:r>
          </w:p>
        </w:tc>
        <w:tc>
          <w:tcPr>
            <w:tcW w:w="2016" w:type="dxa"/>
            <w:tcMar>
              <w:top w:w="80" w:type="dxa"/>
              <w:left w:w="80" w:type="dxa"/>
              <w:bottom w:w="80" w:type="dxa"/>
              <w:right w:w="80" w:type="dxa"/>
            </w:tcMar>
          </w:tcPr>
          <w:p w14:paraId="779ED860" w14:textId="77777777" w:rsidR="006462FB" w:rsidRDefault="00314B85">
            <w:pPr>
              <w:spacing w:after="0"/>
              <w:rPr>
                <w:rFonts w:hint="eastAsia"/>
              </w:rPr>
            </w:pPr>
            <w:r>
              <w:rPr>
                <w:sz w:val="16"/>
              </w:rPr>
              <w:t>HIGH. Broad domain understanding for foundational infrastructure</w:t>
            </w:r>
          </w:p>
        </w:tc>
        <w:tc>
          <w:tcPr>
            <w:tcW w:w="2016" w:type="dxa"/>
            <w:tcMar>
              <w:top w:w="80" w:type="dxa"/>
              <w:left w:w="80" w:type="dxa"/>
              <w:bottom w:w="80" w:type="dxa"/>
              <w:right w:w="80" w:type="dxa"/>
            </w:tcMar>
          </w:tcPr>
          <w:p w14:paraId="23DFCABF" w14:textId="77777777" w:rsidR="006462FB" w:rsidRDefault="00314B85">
            <w:pPr>
              <w:spacing w:after="0"/>
              <w:rPr>
                <w:rFonts w:hint="eastAsia"/>
              </w:rPr>
            </w:pPr>
            <w:r>
              <w:rPr>
                <w:sz w:val="16"/>
              </w:rPr>
              <w:t>LOW. Minimal domain access needed</w:t>
            </w:r>
          </w:p>
        </w:tc>
        <w:tc>
          <w:tcPr>
            <w:tcW w:w="2016" w:type="dxa"/>
            <w:tcMar>
              <w:top w:w="80" w:type="dxa"/>
              <w:left w:w="80" w:type="dxa"/>
              <w:bottom w:w="80" w:type="dxa"/>
              <w:right w:w="80" w:type="dxa"/>
            </w:tcMar>
          </w:tcPr>
          <w:p w14:paraId="5B71BC34" w14:textId="77777777" w:rsidR="006462FB" w:rsidRDefault="00314B85">
            <w:pPr>
              <w:spacing w:after="0"/>
              <w:rPr>
                <w:rFonts w:hint="eastAsia"/>
              </w:rPr>
            </w:pPr>
            <w:r>
              <w:rPr>
                <w:sz w:val="16"/>
              </w:rPr>
              <w:t>HIGH. Deep domain expertise and privileged data access</w:t>
            </w:r>
          </w:p>
        </w:tc>
        <w:tc>
          <w:tcPr>
            <w:tcW w:w="2016" w:type="dxa"/>
            <w:tcMar>
              <w:top w:w="80" w:type="dxa"/>
              <w:left w:w="80" w:type="dxa"/>
              <w:bottom w:w="80" w:type="dxa"/>
              <w:right w:w="80" w:type="dxa"/>
            </w:tcMar>
          </w:tcPr>
          <w:p w14:paraId="354E0749" w14:textId="77777777" w:rsidR="006462FB" w:rsidRDefault="00314B85">
            <w:pPr>
              <w:spacing w:after="0"/>
              <w:rPr>
                <w:rFonts w:hint="eastAsia"/>
              </w:rPr>
            </w:pPr>
            <w:r>
              <w:rPr>
                <w:color w:val="F2C94C"/>
                <w:sz w:val="16"/>
              </w:rPr>
              <w:t>HIGH. Critical for designing agent-led workflow solutions</w:t>
            </w:r>
          </w:p>
        </w:tc>
      </w:tr>
      <w:tr w:rsidR="006462FB" w14:paraId="588CF399" w14:textId="77777777">
        <w:tc>
          <w:tcPr>
            <w:tcW w:w="2016" w:type="dxa"/>
            <w:tcMar>
              <w:top w:w="80" w:type="dxa"/>
              <w:left w:w="80" w:type="dxa"/>
              <w:bottom w:w="80" w:type="dxa"/>
              <w:right w:w="80" w:type="dxa"/>
            </w:tcMar>
          </w:tcPr>
          <w:p w14:paraId="26101FCA" w14:textId="77777777" w:rsidR="006462FB" w:rsidRDefault="00314B85">
            <w:pPr>
              <w:spacing w:after="0"/>
              <w:rPr>
                <w:rFonts w:hint="eastAsia"/>
              </w:rPr>
            </w:pPr>
            <w:r>
              <w:rPr>
                <w:b/>
                <w:sz w:val="16"/>
              </w:rPr>
              <w:t>Engineering depth</w:t>
            </w:r>
          </w:p>
        </w:tc>
        <w:tc>
          <w:tcPr>
            <w:tcW w:w="2016" w:type="dxa"/>
            <w:tcMar>
              <w:top w:w="80" w:type="dxa"/>
              <w:left w:w="80" w:type="dxa"/>
              <w:bottom w:w="80" w:type="dxa"/>
              <w:right w:w="80" w:type="dxa"/>
            </w:tcMar>
          </w:tcPr>
          <w:p w14:paraId="53A05449" w14:textId="77777777" w:rsidR="006462FB" w:rsidRDefault="00314B85">
            <w:pPr>
              <w:spacing w:after="0"/>
              <w:rPr>
                <w:rFonts w:hint="eastAsia"/>
              </w:rPr>
            </w:pPr>
            <w:r>
              <w:rPr>
                <w:sz w:val="16"/>
              </w:rPr>
              <w:t>HIGH. Cloud, data engineering, orchestration</w:t>
            </w:r>
          </w:p>
        </w:tc>
        <w:tc>
          <w:tcPr>
            <w:tcW w:w="2016" w:type="dxa"/>
            <w:tcMar>
              <w:top w:w="80" w:type="dxa"/>
              <w:left w:w="80" w:type="dxa"/>
              <w:bottom w:w="80" w:type="dxa"/>
              <w:right w:w="80" w:type="dxa"/>
            </w:tcMar>
          </w:tcPr>
          <w:p w14:paraId="48CE4E6F" w14:textId="77777777" w:rsidR="006462FB" w:rsidRDefault="00314B85">
            <w:pPr>
              <w:spacing w:after="0"/>
              <w:rPr>
                <w:rFonts w:hint="eastAsia"/>
              </w:rPr>
            </w:pPr>
            <w:r>
              <w:rPr>
                <w:sz w:val="16"/>
              </w:rPr>
              <w:t>MED. Integration of prebuilt agents</w:t>
            </w:r>
          </w:p>
        </w:tc>
        <w:tc>
          <w:tcPr>
            <w:tcW w:w="2016" w:type="dxa"/>
            <w:tcMar>
              <w:top w:w="80" w:type="dxa"/>
              <w:left w:w="80" w:type="dxa"/>
              <w:bottom w:w="80" w:type="dxa"/>
              <w:right w:w="80" w:type="dxa"/>
            </w:tcMar>
          </w:tcPr>
          <w:p w14:paraId="2DA3D0F7" w14:textId="77777777" w:rsidR="006462FB" w:rsidRDefault="00314B85">
            <w:pPr>
              <w:spacing w:after="0"/>
              <w:rPr>
                <w:rFonts w:hint="eastAsia"/>
              </w:rPr>
            </w:pPr>
            <w:r>
              <w:rPr>
                <w:sz w:val="16"/>
              </w:rPr>
              <w:t>HIGH. Strong engineering for tailored agents</w:t>
            </w:r>
          </w:p>
        </w:tc>
        <w:tc>
          <w:tcPr>
            <w:tcW w:w="2016" w:type="dxa"/>
            <w:tcMar>
              <w:top w:w="80" w:type="dxa"/>
              <w:left w:w="80" w:type="dxa"/>
              <w:bottom w:w="80" w:type="dxa"/>
              <w:right w:w="80" w:type="dxa"/>
            </w:tcMar>
          </w:tcPr>
          <w:p w14:paraId="00946901" w14:textId="77777777" w:rsidR="006462FB" w:rsidRDefault="00314B85">
            <w:pPr>
              <w:spacing w:after="0"/>
              <w:rPr>
                <w:rFonts w:hint="eastAsia"/>
              </w:rPr>
            </w:pPr>
            <w:r>
              <w:rPr>
                <w:color w:val="F2C94C"/>
                <w:sz w:val="16"/>
              </w:rPr>
              <w:t>HIGH. Deep process and AI engineering for reimagined workflows</w:t>
            </w:r>
          </w:p>
        </w:tc>
      </w:tr>
      <w:tr w:rsidR="006462FB" w14:paraId="7251BB87" w14:textId="77777777">
        <w:tc>
          <w:tcPr>
            <w:tcW w:w="2016" w:type="dxa"/>
            <w:tcMar>
              <w:top w:w="80" w:type="dxa"/>
              <w:left w:w="80" w:type="dxa"/>
              <w:bottom w:w="80" w:type="dxa"/>
              <w:right w:w="80" w:type="dxa"/>
            </w:tcMar>
          </w:tcPr>
          <w:p w14:paraId="326A232E" w14:textId="77777777" w:rsidR="006462FB" w:rsidRDefault="00314B85">
            <w:pPr>
              <w:spacing w:after="0"/>
              <w:rPr>
                <w:rFonts w:hint="eastAsia"/>
              </w:rPr>
            </w:pPr>
            <w:r>
              <w:rPr>
                <w:b/>
                <w:sz w:val="16"/>
              </w:rPr>
              <w:t>Agentic services</w:t>
            </w:r>
          </w:p>
        </w:tc>
        <w:tc>
          <w:tcPr>
            <w:tcW w:w="2016" w:type="dxa"/>
            <w:tcMar>
              <w:top w:w="80" w:type="dxa"/>
              <w:left w:w="80" w:type="dxa"/>
              <w:bottom w:w="80" w:type="dxa"/>
              <w:right w:w="80" w:type="dxa"/>
            </w:tcMar>
          </w:tcPr>
          <w:p w14:paraId="2CD45E8C" w14:textId="77777777" w:rsidR="006462FB" w:rsidRDefault="00314B85">
            <w:pPr>
              <w:spacing w:after="0"/>
              <w:rPr>
                <w:rFonts w:hint="eastAsia"/>
              </w:rPr>
            </w:pPr>
            <w:r>
              <w:rPr>
                <w:sz w:val="16"/>
              </w:rPr>
              <w:t>HIGH. Core strength for enterprise agent services</w:t>
            </w:r>
          </w:p>
        </w:tc>
        <w:tc>
          <w:tcPr>
            <w:tcW w:w="2016" w:type="dxa"/>
            <w:tcMar>
              <w:top w:w="80" w:type="dxa"/>
              <w:left w:w="80" w:type="dxa"/>
              <w:bottom w:w="80" w:type="dxa"/>
              <w:right w:w="80" w:type="dxa"/>
            </w:tcMar>
          </w:tcPr>
          <w:p w14:paraId="6A3BFB98" w14:textId="77777777" w:rsidR="006462FB" w:rsidRDefault="00314B85">
            <w:pPr>
              <w:spacing w:after="0"/>
              <w:rPr>
                <w:rFonts w:hint="eastAsia"/>
              </w:rPr>
            </w:pPr>
            <w:r>
              <w:rPr>
                <w:sz w:val="16"/>
              </w:rPr>
              <w:t>LOW. Limited requirement</w:t>
            </w:r>
          </w:p>
        </w:tc>
        <w:tc>
          <w:tcPr>
            <w:tcW w:w="2016" w:type="dxa"/>
            <w:tcMar>
              <w:top w:w="80" w:type="dxa"/>
              <w:left w:w="80" w:type="dxa"/>
              <w:bottom w:w="80" w:type="dxa"/>
              <w:right w:w="80" w:type="dxa"/>
            </w:tcMar>
          </w:tcPr>
          <w:p w14:paraId="1A2FF526" w14:textId="77777777" w:rsidR="006462FB" w:rsidRDefault="00314B85">
            <w:pPr>
              <w:spacing w:after="0"/>
              <w:rPr>
                <w:rFonts w:hint="eastAsia"/>
              </w:rPr>
            </w:pPr>
            <w:r>
              <w:rPr>
                <w:sz w:val="16"/>
              </w:rPr>
              <w:t>HIGH. Full-stack build and orchestration</w:t>
            </w:r>
          </w:p>
        </w:tc>
        <w:tc>
          <w:tcPr>
            <w:tcW w:w="2016" w:type="dxa"/>
            <w:tcMar>
              <w:top w:w="80" w:type="dxa"/>
              <w:left w:w="80" w:type="dxa"/>
              <w:bottom w:w="80" w:type="dxa"/>
              <w:right w:w="80" w:type="dxa"/>
            </w:tcMar>
          </w:tcPr>
          <w:p w14:paraId="3CDC811B" w14:textId="77777777" w:rsidR="006462FB" w:rsidRDefault="00314B85">
            <w:pPr>
              <w:spacing w:after="0"/>
              <w:rPr>
                <w:rFonts w:hint="eastAsia"/>
              </w:rPr>
            </w:pPr>
            <w:r>
              <w:rPr>
                <w:color w:val="F2C94C"/>
                <w:sz w:val="16"/>
              </w:rPr>
              <w:t>HIGH. Building multi-agents and putting them to work</w:t>
            </w:r>
          </w:p>
        </w:tc>
      </w:tr>
      <w:tr w:rsidR="006462FB" w14:paraId="07DEFF1C" w14:textId="77777777">
        <w:tc>
          <w:tcPr>
            <w:tcW w:w="2016" w:type="dxa"/>
            <w:tcMar>
              <w:top w:w="80" w:type="dxa"/>
              <w:left w:w="80" w:type="dxa"/>
              <w:bottom w:w="80" w:type="dxa"/>
              <w:right w:w="80" w:type="dxa"/>
            </w:tcMar>
          </w:tcPr>
          <w:p w14:paraId="44941843" w14:textId="77777777" w:rsidR="006462FB" w:rsidRDefault="00314B85">
            <w:pPr>
              <w:spacing w:after="0"/>
              <w:rPr>
                <w:rFonts w:hint="eastAsia"/>
              </w:rPr>
            </w:pPr>
            <w:r>
              <w:rPr>
                <w:b/>
                <w:sz w:val="16"/>
              </w:rPr>
              <w:t>Proprietary platforms</w:t>
            </w:r>
          </w:p>
        </w:tc>
        <w:tc>
          <w:tcPr>
            <w:tcW w:w="2016" w:type="dxa"/>
            <w:tcMar>
              <w:top w:w="80" w:type="dxa"/>
              <w:left w:w="80" w:type="dxa"/>
              <w:bottom w:w="80" w:type="dxa"/>
              <w:right w:w="80" w:type="dxa"/>
            </w:tcMar>
          </w:tcPr>
          <w:p w14:paraId="0073A3AD" w14:textId="77777777" w:rsidR="006462FB" w:rsidRDefault="00314B85">
            <w:pPr>
              <w:spacing w:after="0"/>
              <w:rPr>
                <w:rFonts w:hint="eastAsia"/>
              </w:rPr>
            </w:pPr>
            <w:r>
              <w:rPr>
                <w:sz w:val="16"/>
              </w:rPr>
              <w:t>LOW. Hyperscaler partnerships</w:t>
            </w:r>
          </w:p>
        </w:tc>
        <w:tc>
          <w:tcPr>
            <w:tcW w:w="2016" w:type="dxa"/>
            <w:tcMar>
              <w:top w:w="80" w:type="dxa"/>
              <w:left w:w="80" w:type="dxa"/>
              <w:bottom w:w="80" w:type="dxa"/>
              <w:right w:w="80" w:type="dxa"/>
            </w:tcMar>
          </w:tcPr>
          <w:p w14:paraId="6F5AD573" w14:textId="77777777" w:rsidR="006462FB" w:rsidRDefault="00314B85">
            <w:pPr>
              <w:spacing w:after="0"/>
              <w:rPr>
                <w:rFonts w:hint="eastAsia"/>
              </w:rPr>
            </w:pPr>
            <w:r>
              <w:rPr>
                <w:sz w:val="16"/>
              </w:rPr>
              <w:t>HIGH. Reusable agent libraries</w:t>
            </w:r>
          </w:p>
        </w:tc>
        <w:tc>
          <w:tcPr>
            <w:tcW w:w="2016" w:type="dxa"/>
            <w:tcMar>
              <w:top w:w="80" w:type="dxa"/>
              <w:left w:w="80" w:type="dxa"/>
              <w:bottom w:w="80" w:type="dxa"/>
              <w:right w:w="80" w:type="dxa"/>
            </w:tcMar>
          </w:tcPr>
          <w:p w14:paraId="0ABB8010" w14:textId="77777777" w:rsidR="006462FB" w:rsidRDefault="00314B85">
            <w:pPr>
              <w:spacing w:after="0"/>
              <w:rPr>
                <w:rFonts w:hint="eastAsia"/>
              </w:rPr>
            </w:pPr>
            <w:r>
              <w:rPr>
                <w:sz w:val="16"/>
              </w:rPr>
              <w:t>HIGH. Modular agent frameworks</w:t>
            </w:r>
          </w:p>
        </w:tc>
        <w:tc>
          <w:tcPr>
            <w:tcW w:w="2016" w:type="dxa"/>
            <w:tcMar>
              <w:top w:w="80" w:type="dxa"/>
              <w:left w:w="80" w:type="dxa"/>
              <w:bottom w:w="80" w:type="dxa"/>
              <w:right w:w="80" w:type="dxa"/>
            </w:tcMar>
          </w:tcPr>
          <w:p w14:paraId="562C9863" w14:textId="77777777" w:rsidR="006462FB" w:rsidRDefault="00314B85">
            <w:pPr>
              <w:spacing w:after="0"/>
              <w:rPr>
                <w:rFonts w:hint="eastAsia"/>
              </w:rPr>
            </w:pPr>
            <w:r>
              <w:rPr>
                <w:color w:val="F2C94C"/>
                <w:sz w:val="16"/>
              </w:rPr>
              <w:t>HIGH. Platform enables integrated workflow and agent transformation</w:t>
            </w:r>
          </w:p>
        </w:tc>
      </w:tr>
      <w:tr w:rsidR="006462FB" w14:paraId="292A7B7A" w14:textId="77777777">
        <w:tc>
          <w:tcPr>
            <w:tcW w:w="2016" w:type="dxa"/>
            <w:tcMar>
              <w:top w:w="80" w:type="dxa"/>
              <w:left w:w="80" w:type="dxa"/>
              <w:bottom w:w="80" w:type="dxa"/>
              <w:right w:w="80" w:type="dxa"/>
            </w:tcMar>
          </w:tcPr>
          <w:p w14:paraId="10ED934A" w14:textId="77777777" w:rsidR="006462FB" w:rsidRDefault="00314B85">
            <w:pPr>
              <w:spacing w:after="0"/>
              <w:rPr>
                <w:rFonts w:hint="eastAsia"/>
              </w:rPr>
            </w:pPr>
            <w:r>
              <w:rPr>
                <w:b/>
                <w:sz w:val="16"/>
              </w:rPr>
              <w:t>Talent and change management</w:t>
            </w:r>
          </w:p>
        </w:tc>
        <w:tc>
          <w:tcPr>
            <w:tcW w:w="2016" w:type="dxa"/>
            <w:tcMar>
              <w:top w:w="80" w:type="dxa"/>
              <w:left w:w="80" w:type="dxa"/>
              <w:bottom w:w="80" w:type="dxa"/>
              <w:right w:w="80" w:type="dxa"/>
            </w:tcMar>
          </w:tcPr>
          <w:p w14:paraId="0538479E" w14:textId="77777777" w:rsidR="006462FB" w:rsidRDefault="00314B85">
            <w:pPr>
              <w:spacing w:after="0"/>
              <w:rPr>
                <w:rFonts w:hint="eastAsia"/>
              </w:rPr>
            </w:pPr>
            <w:r>
              <w:rPr>
                <w:sz w:val="16"/>
              </w:rPr>
              <w:t>HIGH. Scaled engineering, minimal org change focus</w:t>
            </w:r>
          </w:p>
        </w:tc>
        <w:tc>
          <w:tcPr>
            <w:tcW w:w="2016" w:type="dxa"/>
            <w:tcMar>
              <w:top w:w="80" w:type="dxa"/>
              <w:left w:w="80" w:type="dxa"/>
              <w:bottom w:w="80" w:type="dxa"/>
              <w:right w:w="80" w:type="dxa"/>
            </w:tcMar>
          </w:tcPr>
          <w:p w14:paraId="5B2021AF" w14:textId="77777777" w:rsidR="006462FB" w:rsidRDefault="00314B85">
            <w:pPr>
              <w:spacing w:after="0"/>
              <w:rPr>
                <w:rFonts w:hint="eastAsia"/>
              </w:rPr>
            </w:pPr>
            <w:r>
              <w:rPr>
                <w:sz w:val="16"/>
              </w:rPr>
              <w:t>LOW. Light functional talent</w:t>
            </w:r>
          </w:p>
        </w:tc>
        <w:tc>
          <w:tcPr>
            <w:tcW w:w="2016" w:type="dxa"/>
            <w:tcMar>
              <w:top w:w="80" w:type="dxa"/>
              <w:left w:w="80" w:type="dxa"/>
              <w:bottom w:w="80" w:type="dxa"/>
              <w:right w:w="80" w:type="dxa"/>
            </w:tcMar>
          </w:tcPr>
          <w:p w14:paraId="7AB913A2" w14:textId="77777777" w:rsidR="006462FB" w:rsidRDefault="00314B85">
            <w:pPr>
              <w:spacing w:after="0"/>
              <w:rPr>
                <w:rFonts w:hint="eastAsia"/>
              </w:rPr>
            </w:pPr>
            <w:r>
              <w:rPr>
                <w:sz w:val="16"/>
              </w:rPr>
              <w:t>HIGH. Niche AI talent and cocreation pods</w:t>
            </w:r>
          </w:p>
        </w:tc>
        <w:tc>
          <w:tcPr>
            <w:tcW w:w="2016" w:type="dxa"/>
            <w:tcMar>
              <w:top w:w="80" w:type="dxa"/>
              <w:left w:w="80" w:type="dxa"/>
              <w:bottom w:w="80" w:type="dxa"/>
              <w:right w:w="80" w:type="dxa"/>
            </w:tcMar>
          </w:tcPr>
          <w:p w14:paraId="29331E9F" w14:textId="77777777" w:rsidR="006462FB" w:rsidRDefault="00314B85">
            <w:pPr>
              <w:spacing w:after="0"/>
              <w:rPr>
                <w:rFonts w:hint="eastAsia"/>
              </w:rPr>
            </w:pPr>
            <w:r>
              <w:rPr>
                <w:color w:val="F2C94C"/>
                <w:sz w:val="16"/>
              </w:rPr>
              <w:t>HIGH. Cross-functional squads and real change management</w:t>
            </w:r>
          </w:p>
        </w:tc>
      </w:tr>
    </w:tbl>
    <w:p w14:paraId="5DCFB642" w14:textId="77777777" w:rsidR="006462FB" w:rsidRDefault="006462FB">
      <w:pPr>
        <w:spacing w:after="16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21438C52"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048FF200" w14:textId="77777777" w:rsidR="006462FB" w:rsidRDefault="00314B85">
            <w:pPr>
              <w:spacing w:after="0"/>
              <w:rPr>
                <w:rFonts w:hint="eastAsia"/>
              </w:rPr>
            </w:pPr>
            <w:r>
              <w:rPr>
                <w:i/>
                <w:sz w:val="22"/>
              </w:rPr>
              <w:t>Ruptiv does not deploy agents onto existing workflows. It reimagines the workflows and builds agents into them from the start. That distinction is the whole business.</w:t>
            </w:r>
          </w:p>
        </w:tc>
      </w:tr>
    </w:tbl>
    <w:p w14:paraId="376AE09C" w14:textId="77777777" w:rsidR="006462FB" w:rsidRDefault="006462FB">
      <w:pPr>
        <w:rPr>
          <w:rFonts w:hint="eastAsia"/>
        </w:rPr>
      </w:pPr>
    </w:p>
    <w:p w14:paraId="1A378AB4"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100C7D61" w14:textId="77777777">
        <w:tc>
          <w:tcPr>
            <w:tcW w:w="8640" w:type="dxa"/>
            <w:tcBorders>
              <w:top w:val="nil"/>
              <w:left w:val="nil"/>
              <w:bottom w:val="nil"/>
              <w:right w:val="nil"/>
            </w:tcBorders>
            <w:tcMar>
              <w:top w:w="0" w:type="dxa"/>
              <w:left w:w="0" w:type="dxa"/>
              <w:bottom w:w="40" w:type="dxa"/>
              <w:right w:w="0" w:type="dxa"/>
            </w:tcMar>
          </w:tcPr>
          <w:p w14:paraId="5FD0E08C" w14:textId="77777777" w:rsidR="006462FB" w:rsidRDefault="00314B85">
            <w:pPr>
              <w:spacing w:after="0"/>
              <w:rPr>
                <w:rFonts w:hint="eastAsia"/>
              </w:rPr>
            </w:pPr>
            <w:r>
              <w:rPr>
                <w:b/>
                <w:color w:val="888780"/>
                <w:spacing w:val="60"/>
                <w:sz w:val="18"/>
              </w:rPr>
              <w:lastRenderedPageBreak/>
              <w:t>03 / THE MARKET</w:t>
            </w:r>
          </w:p>
        </w:tc>
        <w:tc>
          <w:tcPr>
            <w:tcW w:w="1440" w:type="dxa"/>
            <w:tcBorders>
              <w:top w:val="nil"/>
              <w:left w:val="nil"/>
              <w:bottom w:val="nil"/>
              <w:right w:val="nil"/>
            </w:tcBorders>
            <w:tcMar>
              <w:top w:w="0" w:type="dxa"/>
              <w:left w:w="0" w:type="dxa"/>
              <w:bottom w:w="40" w:type="dxa"/>
              <w:right w:w="0" w:type="dxa"/>
            </w:tcMar>
          </w:tcPr>
          <w:p w14:paraId="6B434DCC" w14:textId="77777777" w:rsidR="006462FB" w:rsidRDefault="00314B85">
            <w:pPr>
              <w:spacing w:after="0"/>
              <w:jc w:val="right"/>
              <w:rPr>
                <w:rFonts w:hint="eastAsia"/>
              </w:rPr>
            </w:pPr>
            <w:r>
              <w:rPr>
                <w:color w:val="888780"/>
                <w:sz w:val="18"/>
              </w:rPr>
              <w:t>04</w:t>
            </w:r>
          </w:p>
        </w:tc>
      </w:tr>
    </w:tbl>
    <w:p w14:paraId="4A32A5DD" w14:textId="77777777" w:rsidR="006462FB" w:rsidRDefault="00314B85">
      <w:pPr>
        <w:pBdr>
          <w:bottom w:val="single" w:sz="4" w:space="1" w:color="1F2D4A"/>
        </w:pBdr>
        <w:spacing w:after="240"/>
        <w:rPr>
          <w:rFonts w:hint="eastAsia"/>
        </w:rPr>
      </w:pPr>
      <w:r>
        <w:t xml:space="preserve"> </w:t>
      </w:r>
    </w:p>
    <w:p w14:paraId="1411EEE6" w14:textId="77777777" w:rsidR="006462FB" w:rsidRDefault="00314B85">
      <w:pPr>
        <w:rPr>
          <w:rFonts w:hint="eastAsia"/>
        </w:rPr>
      </w:pPr>
      <w:r>
        <w:rPr>
          <w:b/>
          <w:color w:val="4FC3DC"/>
          <w:spacing w:val="60"/>
          <w:sz w:val="18"/>
        </w:rPr>
        <w:t>SECTION 03</w:t>
      </w:r>
    </w:p>
    <w:p w14:paraId="0F069858" w14:textId="77777777" w:rsidR="006462FB" w:rsidRDefault="00314B85">
      <w:pPr>
        <w:spacing w:after="120"/>
        <w:rPr>
          <w:rFonts w:hint="eastAsia"/>
        </w:rPr>
      </w:pPr>
      <w:r>
        <w:rPr>
          <w:sz w:val="48"/>
        </w:rPr>
        <w:t>The market.</w:t>
      </w:r>
    </w:p>
    <w:p w14:paraId="0B0F1095" w14:textId="77777777" w:rsidR="006462FB" w:rsidRDefault="00314B85">
      <w:pPr>
        <w:spacing w:after="200"/>
        <w:rPr>
          <w:rFonts w:hint="eastAsia"/>
        </w:rPr>
      </w:pPr>
      <w:r>
        <w:rPr>
          <w:i/>
          <w:sz w:val="22"/>
        </w:rPr>
        <w:t>The agentic AI market is growing fast. Ruptiv does not need a large share. It needs to own the End-to-End Workflow Disruptor category before the large players work out how to move.</w:t>
      </w:r>
    </w:p>
    <w:p w14:paraId="5BFBE8D6" w14:textId="77777777" w:rsidR="006462FB" w:rsidRDefault="00314B85">
      <w:pPr>
        <w:pBdr>
          <w:bottom w:val="single" w:sz="18" w:space="1" w:color="F2C94C"/>
        </w:pBdr>
        <w:spacing w:before="40" w:after="200"/>
        <w:ind w:right="5800"/>
        <w:rPr>
          <w:rFonts w:hint="eastAsia"/>
        </w:rPr>
      </w:pPr>
      <w:r>
        <w:t xml:space="preserve"> </w:t>
      </w:r>
    </w:p>
    <w:p w14:paraId="6A20493C" w14:textId="77777777" w:rsidR="006462FB" w:rsidRDefault="00314B85">
      <w:pPr>
        <w:spacing w:before="80" w:after="120"/>
        <w:rPr>
          <w:rFonts w:hint="eastAsia"/>
        </w:rPr>
      </w:pPr>
      <w:r>
        <w:rPr>
          <w:b/>
          <w:color w:val="4FC3DC"/>
          <w:spacing w:val="60"/>
          <w:sz w:val="18"/>
        </w:rPr>
        <w:t>GLOBAL AGENTIC AI MARKET</w:t>
      </w:r>
    </w:p>
    <w:tbl>
      <w:tblPr>
        <w:tblW w:w="0" w:type="auto"/>
        <w:tblBorders>
          <w:top w:val="nil"/>
          <w:left w:val="nil"/>
          <w:bottom w:val="nil"/>
          <w:right w:val="nil"/>
          <w:insideH w:val="nil"/>
          <w:insideV w:val="nil"/>
        </w:tblBorders>
        <w:tblLook w:val="04A0" w:firstRow="1" w:lastRow="0" w:firstColumn="1" w:lastColumn="0" w:noHBand="0" w:noVBand="1"/>
      </w:tblPr>
      <w:tblGrid>
        <w:gridCol w:w="2016"/>
        <w:gridCol w:w="2016"/>
        <w:gridCol w:w="2016"/>
        <w:gridCol w:w="2016"/>
        <w:gridCol w:w="2016"/>
      </w:tblGrid>
      <w:tr w:rsidR="006462FB" w14:paraId="14031EAA" w14:textId="77777777">
        <w:tc>
          <w:tcPr>
            <w:tcW w:w="2016" w:type="dxa"/>
            <w:tcBorders>
              <w:top w:val="nil"/>
              <w:left w:val="nil"/>
              <w:bottom w:val="nil"/>
              <w:right w:val="nil"/>
            </w:tcBorders>
            <w:shd w:val="clear" w:color="auto" w:fill="1F2D4A"/>
            <w:tcMar>
              <w:top w:w="140" w:type="dxa"/>
              <w:left w:w="140" w:type="dxa"/>
              <w:bottom w:w="140" w:type="dxa"/>
              <w:right w:w="140" w:type="dxa"/>
            </w:tcMar>
          </w:tcPr>
          <w:p w14:paraId="73A6676C" w14:textId="77777777" w:rsidR="006462FB" w:rsidRDefault="00314B85">
            <w:pPr>
              <w:rPr>
                <w:rFonts w:hint="eastAsia"/>
              </w:rPr>
            </w:pPr>
            <w:r>
              <w:rPr>
                <w:b/>
                <w:color w:val="4FC3DC"/>
                <w:spacing w:val="50"/>
                <w:sz w:val="18"/>
              </w:rPr>
              <w:t>2024</w:t>
            </w:r>
          </w:p>
          <w:p w14:paraId="51DA9843" w14:textId="77777777" w:rsidR="006462FB" w:rsidRDefault="00314B85">
            <w:pPr>
              <w:rPr>
                <w:rFonts w:hint="eastAsia"/>
              </w:rPr>
            </w:pPr>
            <w:r>
              <w:rPr>
                <w:sz w:val="36"/>
              </w:rPr>
              <w:t>$5.1B</w:t>
            </w:r>
          </w:p>
          <w:p w14:paraId="4A103042" w14:textId="77777777" w:rsidR="006462FB" w:rsidRDefault="00314B85">
            <w:pPr>
              <w:spacing w:after="0"/>
              <w:rPr>
                <w:rFonts w:hint="eastAsia"/>
              </w:rPr>
            </w:pPr>
            <w:r>
              <w:rPr>
                <w:color w:val="888780"/>
                <w:sz w:val="16"/>
              </w:rPr>
              <w:t>Global market</w:t>
            </w:r>
          </w:p>
        </w:tc>
        <w:tc>
          <w:tcPr>
            <w:tcW w:w="2016" w:type="dxa"/>
            <w:tcBorders>
              <w:top w:val="nil"/>
              <w:left w:val="nil"/>
              <w:bottom w:val="nil"/>
              <w:right w:val="nil"/>
            </w:tcBorders>
            <w:shd w:val="clear" w:color="auto" w:fill="1F2D4A"/>
            <w:tcMar>
              <w:top w:w="140" w:type="dxa"/>
              <w:left w:w="140" w:type="dxa"/>
              <w:bottom w:w="140" w:type="dxa"/>
              <w:right w:w="140" w:type="dxa"/>
            </w:tcMar>
          </w:tcPr>
          <w:p w14:paraId="6A183FB9" w14:textId="77777777" w:rsidR="006462FB" w:rsidRDefault="00314B85">
            <w:pPr>
              <w:rPr>
                <w:rFonts w:hint="eastAsia"/>
              </w:rPr>
            </w:pPr>
            <w:r>
              <w:rPr>
                <w:b/>
                <w:color w:val="4FC3DC"/>
                <w:spacing w:val="50"/>
                <w:sz w:val="18"/>
              </w:rPr>
              <w:t>2025</w:t>
            </w:r>
          </w:p>
          <w:p w14:paraId="3F517DB0" w14:textId="77777777" w:rsidR="006462FB" w:rsidRDefault="00314B85">
            <w:pPr>
              <w:rPr>
                <w:rFonts w:hint="eastAsia"/>
              </w:rPr>
            </w:pPr>
            <w:r>
              <w:rPr>
                <w:sz w:val="36"/>
              </w:rPr>
              <w:t>$7.3B</w:t>
            </w:r>
          </w:p>
          <w:p w14:paraId="344FAED7" w14:textId="77777777" w:rsidR="006462FB" w:rsidRDefault="00314B85">
            <w:pPr>
              <w:spacing w:after="0"/>
              <w:rPr>
                <w:rFonts w:hint="eastAsia"/>
              </w:rPr>
            </w:pPr>
            <w:r>
              <w:rPr>
                <w:color w:val="888780"/>
                <w:sz w:val="16"/>
              </w:rPr>
              <w:t>44% YoY</w:t>
            </w:r>
          </w:p>
        </w:tc>
        <w:tc>
          <w:tcPr>
            <w:tcW w:w="2016" w:type="dxa"/>
            <w:tcBorders>
              <w:top w:val="nil"/>
              <w:left w:val="nil"/>
              <w:bottom w:val="nil"/>
              <w:right w:val="nil"/>
            </w:tcBorders>
            <w:shd w:val="clear" w:color="auto" w:fill="1F2D4A"/>
            <w:tcMar>
              <w:top w:w="140" w:type="dxa"/>
              <w:left w:w="140" w:type="dxa"/>
              <w:bottom w:w="140" w:type="dxa"/>
              <w:right w:w="140" w:type="dxa"/>
            </w:tcMar>
          </w:tcPr>
          <w:p w14:paraId="6FF34924" w14:textId="77777777" w:rsidR="006462FB" w:rsidRDefault="00314B85">
            <w:pPr>
              <w:rPr>
                <w:rFonts w:hint="eastAsia"/>
              </w:rPr>
            </w:pPr>
            <w:r>
              <w:rPr>
                <w:b/>
                <w:color w:val="4FC3DC"/>
                <w:spacing w:val="50"/>
                <w:sz w:val="18"/>
              </w:rPr>
              <w:t>2026</w:t>
            </w:r>
          </w:p>
          <w:p w14:paraId="6349DE84" w14:textId="77777777" w:rsidR="006462FB" w:rsidRDefault="00314B85">
            <w:pPr>
              <w:rPr>
                <w:rFonts w:hint="eastAsia"/>
              </w:rPr>
            </w:pPr>
            <w:r>
              <w:rPr>
                <w:sz w:val="36"/>
              </w:rPr>
              <w:t>$9.9B</w:t>
            </w:r>
          </w:p>
          <w:p w14:paraId="23EA5249" w14:textId="77777777" w:rsidR="006462FB" w:rsidRDefault="00314B85">
            <w:pPr>
              <w:spacing w:after="0"/>
              <w:rPr>
                <w:rFonts w:hint="eastAsia"/>
              </w:rPr>
            </w:pPr>
            <w:r>
              <w:rPr>
                <w:color w:val="888780"/>
                <w:sz w:val="16"/>
              </w:rPr>
              <w:t>Current</w:t>
            </w:r>
          </w:p>
        </w:tc>
        <w:tc>
          <w:tcPr>
            <w:tcW w:w="2016" w:type="dxa"/>
            <w:tcBorders>
              <w:top w:val="nil"/>
              <w:left w:val="nil"/>
              <w:bottom w:val="nil"/>
              <w:right w:val="nil"/>
            </w:tcBorders>
            <w:shd w:val="clear" w:color="auto" w:fill="1F2D4A"/>
            <w:tcMar>
              <w:top w:w="140" w:type="dxa"/>
              <w:left w:w="140" w:type="dxa"/>
              <w:bottom w:w="140" w:type="dxa"/>
              <w:right w:w="140" w:type="dxa"/>
            </w:tcMar>
          </w:tcPr>
          <w:p w14:paraId="6F63764F" w14:textId="77777777" w:rsidR="006462FB" w:rsidRDefault="00314B85">
            <w:pPr>
              <w:rPr>
                <w:rFonts w:hint="eastAsia"/>
              </w:rPr>
            </w:pPr>
            <w:r>
              <w:rPr>
                <w:b/>
                <w:color w:val="4FC3DC"/>
                <w:spacing w:val="50"/>
                <w:sz w:val="18"/>
              </w:rPr>
              <w:t>2031</w:t>
            </w:r>
          </w:p>
          <w:p w14:paraId="55BEB2F4" w14:textId="77777777" w:rsidR="006462FB" w:rsidRDefault="00314B85">
            <w:pPr>
              <w:rPr>
                <w:rFonts w:hint="eastAsia"/>
              </w:rPr>
            </w:pPr>
            <w:r>
              <w:rPr>
                <w:sz w:val="36"/>
              </w:rPr>
              <w:t>$57B</w:t>
            </w:r>
          </w:p>
          <w:p w14:paraId="0FE41708" w14:textId="77777777" w:rsidR="006462FB" w:rsidRDefault="00314B85">
            <w:pPr>
              <w:spacing w:after="0"/>
              <w:rPr>
                <w:rFonts w:hint="eastAsia"/>
              </w:rPr>
            </w:pPr>
            <w:r>
              <w:rPr>
                <w:color w:val="888780"/>
                <w:sz w:val="16"/>
              </w:rPr>
              <w:t>Mordor</w:t>
            </w:r>
          </w:p>
        </w:tc>
        <w:tc>
          <w:tcPr>
            <w:tcW w:w="2016" w:type="dxa"/>
            <w:tcBorders>
              <w:top w:val="nil"/>
              <w:left w:val="nil"/>
              <w:bottom w:val="nil"/>
              <w:right w:val="nil"/>
            </w:tcBorders>
            <w:shd w:val="clear" w:color="auto" w:fill="1F2D4A"/>
            <w:tcMar>
              <w:top w:w="140" w:type="dxa"/>
              <w:left w:w="140" w:type="dxa"/>
              <w:bottom w:w="140" w:type="dxa"/>
              <w:right w:w="140" w:type="dxa"/>
            </w:tcMar>
          </w:tcPr>
          <w:p w14:paraId="3C543FF5" w14:textId="77777777" w:rsidR="006462FB" w:rsidRDefault="00314B85">
            <w:pPr>
              <w:rPr>
                <w:rFonts w:hint="eastAsia"/>
              </w:rPr>
            </w:pPr>
            <w:r>
              <w:rPr>
                <w:b/>
                <w:color w:val="4FC3DC"/>
                <w:spacing w:val="50"/>
                <w:sz w:val="18"/>
              </w:rPr>
              <w:t>2034</w:t>
            </w:r>
          </w:p>
          <w:p w14:paraId="072680BC" w14:textId="77777777" w:rsidR="006462FB" w:rsidRDefault="00314B85">
            <w:pPr>
              <w:rPr>
                <w:rFonts w:hint="eastAsia"/>
              </w:rPr>
            </w:pPr>
            <w:r>
              <w:rPr>
                <w:sz w:val="36"/>
              </w:rPr>
              <w:t>$199B</w:t>
            </w:r>
          </w:p>
          <w:p w14:paraId="6B2560E5" w14:textId="77777777" w:rsidR="006462FB" w:rsidRDefault="00314B85">
            <w:pPr>
              <w:spacing w:after="0"/>
              <w:rPr>
                <w:rFonts w:hint="eastAsia"/>
              </w:rPr>
            </w:pPr>
            <w:r>
              <w:rPr>
                <w:color w:val="888780"/>
                <w:sz w:val="16"/>
              </w:rPr>
              <w:t>Upper bound</w:t>
            </w:r>
          </w:p>
        </w:tc>
      </w:tr>
    </w:tbl>
    <w:p w14:paraId="56BC21C5" w14:textId="77777777" w:rsidR="006462FB" w:rsidRDefault="006462FB">
      <w:pPr>
        <w:spacing w:after="200"/>
        <w:rPr>
          <w:rFonts w:hint="eastAsia"/>
        </w:rPr>
      </w:pPr>
    </w:p>
    <w:p w14:paraId="0A685D62" w14:textId="77777777" w:rsidR="006462FB" w:rsidRDefault="00314B85">
      <w:pPr>
        <w:spacing w:after="120"/>
        <w:rPr>
          <w:rFonts w:hint="eastAsia"/>
        </w:rPr>
      </w:pPr>
      <w:r>
        <w:t xml:space="preserve">The enterprise segment specifically goes from </w:t>
      </w:r>
      <w:r>
        <w:rPr>
          <w:b/>
          <w:color w:val="F2C94C"/>
        </w:rPr>
        <w:t>$2.6 billion in 2024 to $24.5 billion by 2030</w:t>
      </w:r>
      <w:r>
        <w:t>. Large enterprises hold 65% of current agentic AI market share.</w:t>
      </w:r>
    </w:p>
    <w:p w14:paraId="60D331C5" w14:textId="77777777" w:rsidR="006462FB" w:rsidRDefault="00314B85">
      <w:pPr>
        <w:spacing w:after="200"/>
        <w:rPr>
          <w:rFonts w:hint="eastAsia"/>
        </w:rPr>
      </w:pPr>
      <w:r>
        <w:t xml:space="preserve">Gartner projects that </w:t>
      </w:r>
      <w:r>
        <w:rPr>
          <w:b/>
          <w:color w:val="F2C94C"/>
        </w:rPr>
        <w:t>40% of enterprise applications will include task-specific AI agents by end of 2026</w:t>
      </w:r>
      <w:r>
        <w:t xml:space="preserve">. That figure was below 5% in 2025. </w:t>
      </w:r>
      <w:r>
        <w:rPr>
          <w:b/>
          <w:color w:val="F2C94C"/>
        </w:rPr>
        <w:t>93% of IT leaders</w:t>
      </w:r>
      <w:r>
        <w:t xml:space="preserve"> plan to introduce autonomous agents within two years.</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47005C44"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2129431C" w14:textId="77777777" w:rsidR="006462FB" w:rsidRDefault="00314B85">
            <w:pPr>
              <w:spacing w:after="0"/>
              <w:rPr>
                <w:rFonts w:hint="eastAsia"/>
              </w:rPr>
            </w:pPr>
            <w:r>
              <w:rPr>
                <w:sz w:val="24"/>
              </w:rPr>
              <w:t>The market is moving regardless of whether Ruptiv exists. The question is who captures it.</w:t>
            </w:r>
          </w:p>
        </w:tc>
      </w:tr>
    </w:tbl>
    <w:p w14:paraId="73E08766" w14:textId="77777777" w:rsidR="006462FB" w:rsidRDefault="006462FB">
      <w:pPr>
        <w:rPr>
          <w:rFonts w:hint="eastAsia"/>
        </w:rPr>
      </w:pPr>
    </w:p>
    <w:p w14:paraId="07B74713"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6ACAB717" w14:textId="77777777">
        <w:tc>
          <w:tcPr>
            <w:tcW w:w="8640" w:type="dxa"/>
            <w:tcBorders>
              <w:top w:val="nil"/>
              <w:left w:val="nil"/>
              <w:bottom w:val="nil"/>
              <w:right w:val="nil"/>
            </w:tcBorders>
            <w:tcMar>
              <w:top w:w="0" w:type="dxa"/>
              <w:left w:w="0" w:type="dxa"/>
              <w:bottom w:w="40" w:type="dxa"/>
              <w:right w:w="0" w:type="dxa"/>
            </w:tcMar>
          </w:tcPr>
          <w:p w14:paraId="1D2E507D" w14:textId="77777777" w:rsidR="006462FB" w:rsidRDefault="00314B85">
            <w:pPr>
              <w:spacing w:after="0"/>
              <w:rPr>
                <w:rFonts w:hint="eastAsia"/>
              </w:rPr>
            </w:pPr>
            <w:r>
              <w:rPr>
                <w:b/>
                <w:color w:val="888780"/>
                <w:spacing w:val="60"/>
                <w:sz w:val="18"/>
              </w:rPr>
              <w:lastRenderedPageBreak/>
              <w:t>04 / WHAT WORKS WHEN AI ACTUALLY WORKS</w:t>
            </w:r>
          </w:p>
        </w:tc>
        <w:tc>
          <w:tcPr>
            <w:tcW w:w="1440" w:type="dxa"/>
            <w:tcBorders>
              <w:top w:val="nil"/>
              <w:left w:val="nil"/>
              <w:bottom w:val="nil"/>
              <w:right w:val="nil"/>
            </w:tcBorders>
            <w:tcMar>
              <w:top w:w="0" w:type="dxa"/>
              <w:left w:w="0" w:type="dxa"/>
              <w:bottom w:w="40" w:type="dxa"/>
              <w:right w:w="0" w:type="dxa"/>
            </w:tcMar>
          </w:tcPr>
          <w:p w14:paraId="14D281D0" w14:textId="77777777" w:rsidR="006462FB" w:rsidRDefault="00314B85">
            <w:pPr>
              <w:spacing w:after="0"/>
              <w:jc w:val="right"/>
              <w:rPr>
                <w:rFonts w:hint="eastAsia"/>
              </w:rPr>
            </w:pPr>
            <w:r>
              <w:rPr>
                <w:color w:val="888780"/>
                <w:sz w:val="18"/>
              </w:rPr>
              <w:t>05</w:t>
            </w:r>
          </w:p>
        </w:tc>
      </w:tr>
    </w:tbl>
    <w:p w14:paraId="7DDEE5D6" w14:textId="77777777" w:rsidR="006462FB" w:rsidRDefault="00314B85">
      <w:pPr>
        <w:pBdr>
          <w:bottom w:val="single" w:sz="4" w:space="1" w:color="1F2D4A"/>
        </w:pBdr>
        <w:spacing w:after="240"/>
        <w:rPr>
          <w:rFonts w:hint="eastAsia"/>
        </w:rPr>
      </w:pPr>
      <w:r>
        <w:t xml:space="preserve"> </w:t>
      </w:r>
    </w:p>
    <w:p w14:paraId="6B2445F0" w14:textId="77777777" w:rsidR="006462FB" w:rsidRDefault="00314B85">
      <w:pPr>
        <w:rPr>
          <w:rFonts w:hint="eastAsia"/>
        </w:rPr>
      </w:pPr>
      <w:r>
        <w:rPr>
          <w:b/>
          <w:color w:val="4FC3DC"/>
          <w:spacing w:val="60"/>
          <w:sz w:val="18"/>
        </w:rPr>
        <w:t>SECTION 04</w:t>
      </w:r>
    </w:p>
    <w:p w14:paraId="699C0A7C" w14:textId="77777777" w:rsidR="006462FB" w:rsidRDefault="00314B85">
      <w:pPr>
        <w:spacing w:after="120"/>
        <w:rPr>
          <w:rFonts w:hint="eastAsia"/>
        </w:rPr>
      </w:pPr>
      <w:r>
        <w:rPr>
          <w:sz w:val="44"/>
        </w:rPr>
        <w:t>What works when AI actually works.</w:t>
      </w:r>
    </w:p>
    <w:p w14:paraId="224B3275" w14:textId="77777777" w:rsidR="006462FB" w:rsidRDefault="00314B85">
      <w:pPr>
        <w:spacing w:after="200"/>
        <w:rPr>
          <w:rFonts w:hint="eastAsia"/>
        </w:rPr>
      </w:pPr>
      <w:r>
        <w:rPr>
          <w:i/>
          <w:sz w:val="22"/>
        </w:rPr>
        <w:t>The evidence on successful deployments is specific. It is not optimistic speculation. These are named companies with verified numbers.</w:t>
      </w:r>
    </w:p>
    <w:p w14:paraId="39DB6C33" w14:textId="77777777" w:rsidR="006462FB" w:rsidRDefault="00314B85">
      <w:pPr>
        <w:pBdr>
          <w:bottom w:val="single" w:sz="18" w:space="1" w:color="F2C94C"/>
        </w:pBdr>
        <w:spacing w:before="40" w:after="200"/>
        <w:ind w:right="5800"/>
        <w:rPr>
          <w:rFonts w:hint="eastAsia"/>
        </w:rPr>
      </w:pPr>
      <w:r>
        <w:t xml:space="preserve"> </w:t>
      </w:r>
    </w:p>
    <w:tbl>
      <w:tblPr>
        <w:tblW w:w="0" w:type="auto"/>
        <w:tblBorders>
          <w:top w:val="nil"/>
          <w:left w:val="nil"/>
          <w:bottom w:val="nil"/>
          <w:right w:val="nil"/>
          <w:insideH w:val="nil"/>
          <w:insideV w:val="nil"/>
        </w:tblBorders>
        <w:tblLook w:val="04A0" w:firstRow="1" w:lastRow="0" w:firstColumn="1" w:lastColumn="0" w:noHBand="0" w:noVBand="1"/>
      </w:tblPr>
      <w:tblGrid>
        <w:gridCol w:w="2299"/>
        <w:gridCol w:w="7751"/>
      </w:tblGrid>
      <w:tr w:rsidR="006462FB" w14:paraId="42C15255" w14:textId="77777777">
        <w:tc>
          <w:tcPr>
            <w:tcW w:w="2304" w:type="dxa"/>
            <w:tcBorders>
              <w:top w:val="nil"/>
              <w:left w:val="single" w:sz="24" w:space="0" w:color="F2C94C"/>
              <w:bottom w:val="nil"/>
              <w:right w:val="nil"/>
            </w:tcBorders>
            <w:shd w:val="clear" w:color="auto" w:fill="1F2D4A"/>
            <w:tcMar>
              <w:top w:w="120" w:type="dxa"/>
              <w:left w:w="180" w:type="dxa"/>
              <w:bottom w:w="120" w:type="dxa"/>
              <w:right w:w="80" w:type="dxa"/>
            </w:tcMar>
          </w:tcPr>
          <w:p w14:paraId="31D2B51F" w14:textId="77777777" w:rsidR="006462FB" w:rsidRDefault="00314B85">
            <w:pPr>
              <w:spacing w:after="0"/>
              <w:rPr>
                <w:rFonts w:hint="eastAsia"/>
              </w:rPr>
            </w:pPr>
            <w:r>
              <w:rPr>
                <w:b/>
                <w:color w:val="F2C94C"/>
                <w:sz w:val="22"/>
              </w:rPr>
              <w:t>Klarna</w:t>
            </w:r>
          </w:p>
        </w:tc>
        <w:tc>
          <w:tcPr>
            <w:tcW w:w="7776" w:type="dxa"/>
            <w:tcBorders>
              <w:top w:val="nil"/>
              <w:left w:val="nil"/>
              <w:bottom w:val="nil"/>
              <w:right w:val="nil"/>
            </w:tcBorders>
            <w:shd w:val="clear" w:color="auto" w:fill="1F2D4A"/>
            <w:tcMar>
              <w:top w:w="120" w:type="dxa"/>
              <w:left w:w="80" w:type="dxa"/>
              <w:bottom w:w="120" w:type="dxa"/>
              <w:right w:w="180" w:type="dxa"/>
            </w:tcMar>
          </w:tcPr>
          <w:p w14:paraId="7B7B42DF" w14:textId="77777777" w:rsidR="006462FB" w:rsidRDefault="00314B85">
            <w:pPr>
              <w:spacing w:after="0"/>
              <w:rPr>
                <w:rFonts w:hint="eastAsia"/>
              </w:rPr>
            </w:pPr>
            <w:r>
              <w:rPr>
                <w:sz w:val="19"/>
              </w:rPr>
              <w:t>One AI customer service agent handled the workload of 853 employees. Saved $60 million. This was not a pilot. (AI Monk Enterprise Case Study, Q3 2025)</w:t>
            </w:r>
          </w:p>
        </w:tc>
      </w:tr>
    </w:tbl>
    <w:p w14:paraId="0D806152"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574960D1" w14:textId="77777777">
        <w:tc>
          <w:tcPr>
            <w:tcW w:w="2304" w:type="dxa"/>
            <w:tcBorders>
              <w:top w:val="nil"/>
              <w:left w:val="single" w:sz="24" w:space="0" w:color="F2C94C"/>
              <w:bottom w:val="nil"/>
              <w:right w:val="nil"/>
            </w:tcBorders>
            <w:shd w:val="clear" w:color="auto" w:fill="1F2D4A"/>
            <w:tcMar>
              <w:top w:w="120" w:type="dxa"/>
              <w:left w:w="180" w:type="dxa"/>
              <w:bottom w:w="120" w:type="dxa"/>
              <w:right w:w="80" w:type="dxa"/>
            </w:tcMar>
          </w:tcPr>
          <w:p w14:paraId="1122437C" w14:textId="77777777" w:rsidR="006462FB" w:rsidRDefault="00314B85">
            <w:pPr>
              <w:spacing w:after="0"/>
              <w:rPr>
                <w:rFonts w:hint="eastAsia"/>
              </w:rPr>
            </w:pPr>
            <w:r>
              <w:rPr>
                <w:b/>
                <w:color w:val="F2C94C"/>
                <w:sz w:val="22"/>
              </w:rPr>
              <w:t>JPMorgan</w:t>
            </w:r>
          </w:p>
        </w:tc>
        <w:tc>
          <w:tcPr>
            <w:tcW w:w="7776" w:type="dxa"/>
            <w:tcBorders>
              <w:top w:val="nil"/>
              <w:left w:val="nil"/>
              <w:bottom w:val="nil"/>
              <w:right w:val="nil"/>
            </w:tcBorders>
            <w:shd w:val="clear" w:color="auto" w:fill="1F2D4A"/>
            <w:tcMar>
              <w:top w:w="120" w:type="dxa"/>
              <w:left w:w="80" w:type="dxa"/>
              <w:bottom w:w="120" w:type="dxa"/>
              <w:right w:w="180" w:type="dxa"/>
            </w:tcMar>
          </w:tcPr>
          <w:p w14:paraId="6A83A477" w14:textId="77777777" w:rsidR="006462FB" w:rsidRDefault="00314B85">
            <w:pPr>
              <w:spacing w:after="0"/>
              <w:rPr>
                <w:rFonts w:hint="eastAsia"/>
              </w:rPr>
            </w:pPr>
            <w:r>
              <w:rPr>
                <w:sz w:val="19"/>
              </w:rPr>
              <w:t>450+ AI use cases in production daily. Investment banking presentations that took junior analysts hours now take 30 seconds. (AI Monk, 2025)</w:t>
            </w:r>
          </w:p>
        </w:tc>
      </w:tr>
    </w:tbl>
    <w:p w14:paraId="351407DF"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3FCE4BE2" w14:textId="77777777">
        <w:tc>
          <w:tcPr>
            <w:tcW w:w="2304" w:type="dxa"/>
            <w:tcBorders>
              <w:top w:val="nil"/>
              <w:left w:val="single" w:sz="24" w:space="0" w:color="F2C94C"/>
              <w:bottom w:val="nil"/>
              <w:right w:val="nil"/>
            </w:tcBorders>
            <w:shd w:val="clear" w:color="auto" w:fill="1F2D4A"/>
            <w:tcMar>
              <w:top w:w="120" w:type="dxa"/>
              <w:left w:w="180" w:type="dxa"/>
              <w:bottom w:w="120" w:type="dxa"/>
              <w:right w:w="80" w:type="dxa"/>
            </w:tcMar>
          </w:tcPr>
          <w:p w14:paraId="5C7EB699" w14:textId="77777777" w:rsidR="006462FB" w:rsidRDefault="00314B85">
            <w:pPr>
              <w:spacing w:after="0"/>
              <w:rPr>
                <w:rFonts w:hint="eastAsia"/>
              </w:rPr>
            </w:pPr>
            <w:r>
              <w:rPr>
                <w:b/>
                <w:color w:val="F2C94C"/>
                <w:sz w:val="22"/>
              </w:rPr>
              <w:t>Salesforce Legal</w:t>
            </w:r>
          </w:p>
        </w:tc>
        <w:tc>
          <w:tcPr>
            <w:tcW w:w="7776" w:type="dxa"/>
            <w:tcBorders>
              <w:top w:val="nil"/>
              <w:left w:val="nil"/>
              <w:bottom w:val="nil"/>
              <w:right w:val="nil"/>
            </w:tcBorders>
            <w:shd w:val="clear" w:color="auto" w:fill="1F2D4A"/>
            <w:tcMar>
              <w:top w:w="120" w:type="dxa"/>
              <w:left w:w="80" w:type="dxa"/>
              <w:bottom w:w="120" w:type="dxa"/>
              <w:right w:w="180" w:type="dxa"/>
            </w:tcMar>
          </w:tcPr>
          <w:p w14:paraId="042FFB74" w14:textId="77777777" w:rsidR="006462FB" w:rsidRDefault="00314B85">
            <w:pPr>
              <w:spacing w:after="0"/>
              <w:rPr>
                <w:rFonts w:hint="eastAsia"/>
              </w:rPr>
            </w:pPr>
            <w:r>
              <w:rPr>
                <w:sz w:val="19"/>
              </w:rPr>
              <w:t>AI agent drafting and reviewing contracts cut outside counsel spend by more than $5 million. (AI Monk, 2025)</w:t>
            </w:r>
          </w:p>
        </w:tc>
      </w:tr>
    </w:tbl>
    <w:p w14:paraId="68420686"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6B07807B" w14:textId="77777777">
        <w:tc>
          <w:tcPr>
            <w:tcW w:w="2304" w:type="dxa"/>
            <w:tcBorders>
              <w:top w:val="nil"/>
              <w:left w:val="single" w:sz="24" w:space="0" w:color="F2C94C"/>
              <w:bottom w:val="nil"/>
              <w:right w:val="nil"/>
            </w:tcBorders>
            <w:shd w:val="clear" w:color="auto" w:fill="1F2D4A"/>
            <w:tcMar>
              <w:top w:w="120" w:type="dxa"/>
              <w:left w:w="180" w:type="dxa"/>
              <w:bottom w:w="120" w:type="dxa"/>
              <w:right w:w="80" w:type="dxa"/>
            </w:tcMar>
          </w:tcPr>
          <w:p w14:paraId="48013253" w14:textId="77777777" w:rsidR="006462FB" w:rsidRDefault="00314B85">
            <w:pPr>
              <w:spacing w:after="0"/>
              <w:rPr>
                <w:rFonts w:hint="eastAsia"/>
              </w:rPr>
            </w:pPr>
            <w:r>
              <w:rPr>
                <w:b/>
                <w:color w:val="F2C94C"/>
                <w:sz w:val="22"/>
              </w:rPr>
              <w:t>Enterprise average</w:t>
            </w:r>
          </w:p>
        </w:tc>
        <w:tc>
          <w:tcPr>
            <w:tcW w:w="7776" w:type="dxa"/>
            <w:tcBorders>
              <w:top w:val="nil"/>
              <w:left w:val="nil"/>
              <w:bottom w:val="nil"/>
              <w:right w:val="nil"/>
            </w:tcBorders>
            <w:shd w:val="clear" w:color="auto" w:fill="1F2D4A"/>
            <w:tcMar>
              <w:top w:w="120" w:type="dxa"/>
              <w:left w:w="80" w:type="dxa"/>
              <w:bottom w:w="120" w:type="dxa"/>
              <w:right w:w="180" w:type="dxa"/>
            </w:tcMar>
          </w:tcPr>
          <w:p w14:paraId="70F4665A" w14:textId="77777777" w:rsidR="006462FB" w:rsidRDefault="00314B85">
            <w:pPr>
              <w:spacing w:after="0"/>
              <w:rPr>
                <w:rFonts w:hint="eastAsia"/>
              </w:rPr>
            </w:pPr>
            <w:r>
              <w:rPr>
                <w:sz w:val="19"/>
              </w:rPr>
              <w:t>Companies report average ROI of 171% from agentic AI. US enterprises hit 192%. That is 3x the return from traditional automation. (Landbase, 2025)</w:t>
            </w:r>
          </w:p>
        </w:tc>
      </w:tr>
    </w:tbl>
    <w:p w14:paraId="19D8DD35"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3F10B812" w14:textId="77777777">
        <w:tc>
          <w:tcPr>
            <w:tcW w:w="2304" w:type="dxa"/>
            <w:tcBorders>
              <w:top w:val="nil"/>
              <w:left w:val="single" w:sz="24" w:space="0" w:color="F2C94C"/>
              <w:bottom w:val="nil"/>
              <w:right w:val="nil"/>
            </w:tcBorders>
            <w:shd w:val="clear" w:color="auto" w:fill="1F2D4A"/>
            <w:tcMar>
              <w:top w:w="120" w:type="dxa"/>
              <w:left w:w="180" w:type="dxa"/>
              <w:bottom w:w="120" w:type="dxa"/>
              <w:right w:w="80" w:type="dxa"/>
            </w:tcMar>
          </w:tcPr>
          <w:p w14:paraId="2FAAEABC" w14:textId="77777777" w:rsidR="006462FB" w:rsidRDefault="00314B85">
            <w:pPr>
              <w:spacing w:after="0"/>
              <w:rPr>
                <w:rFonts w:hint="eastAsia"/>
              </w:rPr>
            </w:pPr>
            <w:r>
              <w:rPr>
                <w:b/>
                <w:color w:val="F2C94C"/>
                <w:sz w:val="22"/>
              </w:rPr>
              <w:t>Healthcare</w:t>
            </w:r>
          </w:p>
        </w:tc>
        <w:tc>
          <w:tcPr>
            <w:tcW w:w="7776" w:type="dxa"/>
            <w:tcBorders>
              <w:top w:val="nil"/>
              <w:left w:val="nil"/>
              <w:bottom w:val="nil"/>
              <w:right w:val="nil"/>
            </w:tcBorders>
            <w:shd w:val="clear" w:color="auto" w:fill="1F2D4A"/>
            <w:tcMar>
              <w:top w:w="120" w:type="dxa"/>
              <w:left w:w="80" w:type="dxa"/>
              <w:bottom w:w="120" w:type="dxa"/>
              <w:right w:w="180" w:type="dxa"/>
            </w:tcMar>
          </w:tcPr>
          <w:p w14:paraId="4AFBF5C7" w14:textId="77777777" w:rsidR="006462FB" w:rsidRDefault="00314B85">
            <w:pPr>
              <w:spacing w:after="0"/>
              <w:rPr>
                <w:rFonts w:hint="eastAsia"/>
              </w:rPr>
            </w:pPr>
            <w:r>
              <w:rPr>
                <w:sz w:val="19"/>
              </w:rPr>
              <w:t>$3.20 returned for every $1 invested in AI within 14 months, across patient and workflow automation. (Vellum AI, 2025)</w:t>
            </w:r>
          </w:p>
        </w:tc>
      </w:tr>
    </w:tbl>
    <w:p w14:paraId="7F727023"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7F980932" w14:textId="77777777">
        <w:tc>
          <w:tcPr>
            <w:tcW w:w="2304" w:type="dxa"/>
            <w:tcBorders>
              <w:top w:val="nil"/>
              <w:left w:val="single" w:sz="24" w:space="0" w:color="F2C94C"/>
              <w:bottom w:val="nil"/>
              <w:right w:val="nil"/>
            </w:tcBorders>
            <w:shd w:val="clear" w:color="auto" w:fill="1F2D4A"/>
            <w:tcMar>
              <w:top w:w="120" w:type="dxa"/>
              <w:left w:w="180" w:type="dxa"/>
              <w:bottom w:w="120" w:type="dxa"/>
              <w:right w:w="80" w:type="dxa"/>
            </w:tcMar>
          </w:tcPr>
          <w:p w14:paraId="6444FA9B" w14:textId="77777777" w:rsidR="006462FB" w:rsidRDefault="00314B85">
            <w:pPr>
              <w:spacing w:after="0"/>
              <w:rPr>
                <w:rFonts w:hint="eastAsia"/>
              </w:rPr>
            </w:pPr>
            <w:r>
              <w:rPr>
                <w:b/>
                <w:color w:val="F2C94C"/>
                <w:sz w:val="22"/>
              </w:rPr>
              <w:t>Workflow redesign leaders</w:t>
            </w:r>
          </w:p>
        </w:tc>
        <w:tc>
          <w:tcPr>
            <w:tcW w:w="7776" w:type="dxa"/>
            <w:tcBorders>
              <w:top w:val="nil"/>
              <w:left w:val="nil"/>
              <w:bottom w:val="nil"/>
              <w:right w:val="nil"/>
            </w:tcBorders>
            <w:shd w:val="clear" w:color="auto" w:fill="1F2D4A"/>
            <w:tcMar>
              <w:top w:w="120" w:type="dxa"/>
              <w:left w:w="80" w:type="dxa"/>
              <w:bottom w:w="120" w:type="dxa"/>
              <w:right w:w="180" w:type="dxa"/>
            </w:tcMar>
          </w:tcPr>
          <w:p w14:paraId="454EEAF1" w14:textId="77777777" w:rsidR="006462FB" w:rsidRDefault="00314B85">
            <w:pPr>
              <w:spacing w:after="0"/>
              <w:rPr>
                <w:rFonts w:hint="eastAsia"/>
              </w:rPr>
            </w:pPr>
            <w:r>
              <w:rPr>
                <w:sz w:val="19"/>
              </w:rPr>
              <w:t>Companies that redesign workflows before selecting AI tools are 2x more likely to report significant financial returns than those that bolt AI onto existing processes. (McKinsey, 2025)</w:t>
            </w:r>
          </w:p>
        </w:tc>
      </w:tr>
    </w:tbl>
    <w:p w14:paraId="06A5C7B7"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04503536"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20EB7766" w14:textId="77777777" w:rsidR="006462FB" w:rsidRDefault="00314B85">
            <w:pPr>
              <w:spacing w:after="0"/>
              <w:rPr>
                <w:rFonts w:hint="eastAsia"/>
              </w:rPr>
            </w:pPr>
            <w:r>
              <w:rPr>
                <w:i/>
                <w:sz w:val="22"/>
              </w:rPr>
              <w:t>That is Ruptiv's methodology. Most of the market has not figured this out yet.</w:t>
            </w:r>
          </w:p>
        </w:tc>
      </w:tr>
    </w:tbl>
    <w:p w14:paraId="14161217" w14:textId="77777777" w:rsidR="006462FB" w:rsidRDefault="006462FB">
      <w:pPr>
        <w:rPr>
          <w:rFonts w:hint="eastAsia"/>
        </w:rPr>
      </w:pPr>
    </w:p>
    <w:p w14:paraId="2DC0BC0C"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467523D0" w14:textId="77777777">
        <w:tc>
          <w:tcPr>
            <w:tcW w:w="8640" w:type="dxa"/>
            <w:tcBorders>
              <w:top w:val="nil"/>
              <w:left w:val="nil"/>
              <w:bottom w:val="nil"/>
              <w:right w:val="nil"/>
            </w:tcBorders>
            <w:tcMar>
              <w:top w:w="0" w:type="dxa"/>
              <w:left w:w="0" w:type="dxa"/>
              <w:bottom w:w="40" w:type="dxa"/>
              <w:right w:w="0" w:type="dxa"/>
            </w:tcMar>
          </w:tcPr>
          <w:p w14:paraId="55FADAF8" w14:textId="77777777" w:rsidR="006462FB" w:rsidRDefault="00314B85">
            <w:pPr>
              <w:spacing w:after="0"/>
              <w:rPr>
                <w:rFonts w:hint="eastAsia"/>
              </w:rPr>
            </w:pPr>
            <w:r>
              <w:rPr>
                <w:b/>
                <w:color w:val="888780"/>
                <w:spacing w:val="60"/>
                <w:sz w:val="18"/>
              </w:rPr>
              <w:lastRenderedPageBreak/>
              <w:t>05 / THE CURRENT OPTIONS</w:t>
            </w:r>
          </w:p>
        </w:tc>
        <w:tc>
          <w:tcPr>
            <w:tcW w:w="1440" w:type="dxa"/>
            <w:tcBorders>
              <w:top w:val="nil"/>
              <w:left w:val="nil"/>
              <w:bottom w:val="nil"/>
              <w:right w:val="nil"/>
            </w:tcBorders>
            <w:tcMar>
              <w:top w:w="0" w:type="dxa"/>
              <w:left w:w="0" w:type="dxa"/>
              <w:bottom w:w="40" w:type="dxa"/>
              <w:right w:w="0" w:type="dxa"/>
            </w:tcMar>
          </w:tcPr>
          <w:p w14:paraId="13AF484B" w14:textId="77777777" w:rsidR="006462FB" w:rsidRDefault="00314B85">
            <w:pPr>
              <w:spacing w:after="0"/>
              <w:jc w:val="right"/>
              <w:rPr>
                <w:rFonts w:hint="eastAsia"/>
              </w:rPr>
            </w:pPr>
            <w:r>
              <w:rPr>
                <w:color w:val="888780"/>
                <w:sz w:val="18"/>
              </w:rPr>
              <w:t>06</w:t>
            </w:r>
          </w:p>
        </w:tc>
      </w:tr>
    </w:tbl>
    <w:p w14:paraId="16EBAFBE" w14:textId="77777777" w:rsidR="006462FB" w:rsidRDefault="00314B85">
      <w:pPr>
        <w:pBdr>
          <w:bottom w:val="single" w:sz="4" w:space="1" w:color="1F2D4A"/>
        </w:pBdr>
        <w:spacing w:after="240"/>
        <w:rPr>
          <w:rFonts w:hint="eastAsia"/>
        </w:rPr>
      </w:pPr>
      <w:r>
        <w:t xml:space="preserve"> </w:t>
      </w:r>
    </w:p>
    <w:p w14:paraId="6AC1C2F2" w14:textId="77777777" w:rsidR="006462FB" w:rsidRDefault="00314B85">
      <w:pPr>
        <w:rPr>
          <w:rFonts w:hint="eastAsia"/>
        </w:rPr>
      </w:pPr>
      <w:r>
        <w:rPr>
          <w:b/>
          <w:color w:val="4FC3DC"/>
          <w:spacing w:val="60"/>
          <w:sz w:val="18"/>
        </w:rPr>
        <w:t>SECTION 05</w:t>
      </w:r>
    </w:p>
    <w:p w14:paraId="26609D3A" w14:textId="77777777" w:rsidR="006462FB" w:rsidRDefault="00314B85">
      <w:pPr>
        <w:spacing w:after="120"/>
        <w:rPr>
          <w:rFonts w:hint="eastAsia"/>
        </w:rPr>
      </w:pPr>
      <w:r>
        <w:rPr>
          <w:sz w:val="44"/>
        </w:rPr>
        <w:t>The current options and why they fail.</w:t>
      </w:r>
    </w:p>
    <w:p w14:paraId="637C6F58" w14:textId="77777777" w:rsidR="006462FB" w:rsidRDefault="00314B85">
      <w:pPr>
        <w:spacing w:after="200"/>
        <w:rPr>
          <w:rFonts w:hint="eastAsia"/>
        </w:rPr>
      </w:pPr>
      <w:r>
        <w:rPr>
          <w:i/>
          <w:sz w:val="22"/>
        </w:rPr>
        <w:t>Enterprise buyers today have two options. Both fail most of the time.</w:t>
      </w:r>
    </w:p>
    <w:p w14:paraId="37C8626E" w14:textId="77777777" w:rsidR="006462FB" w:rsidRDefault="00314B85">
      <w:pPr>
        <w:pBdr>
          <w:bottom w:val="single" w:sz="18" w:space="1" w:color="F2C94C"/>
        </w:pBdr>
        <w:spacing w:before="40" w:after="200"/>
        <w:ind w:right="5800"/>
        <w:rPr>
          <w:rFonts w:hint="eastAsia"/>
        </w:rPr>
      </w:pPr>
      <w:r>
        <w:t xml:space="preserve"> </w:t>
      </w:r>
    </w:p>
    <w:tbl>
      <w:tblPr>
        <w:tblW w:w="0" w:type="auto"/>
        <w:tblBorders>
          <w:top w:val="nil"/>
          <w:left w:val="nil"/>
          <w:bottom w:val="nil"/>
          <w:right w:val="nil"/>
          <w:insideH w:val="nil"/>
          <w:insideV w:val="nil"/>
        </w:tblBorders>
        <w:tblLook w:val="04A0" w:firstRow="1" w:lastRow="0" w:firstColumn="1" w:lastColumn="0" w:noHBand="0" w:noVBand="1"/>
      </w:tblPr>
      <w:tblGrid>
        <w:gridCol w:w="3355"/>
        <w:gridCol w:w="3355"/>
        <w:gridCol w:w="3355"/>
      </w:tblGrid>
      <w:tr w:rsidR="006462FB" w14:paraId="567BF485" w14:textId="77777777">
        <w:tc>
          <w:tcPr>
            <w:tcW w:w="3355" w:type="dxa"/>
            <w:tcBorders>
              <w:top w:val="nil"/>
              <w:left w:val="nil"/>
              <w:bottom w:val="nil"/>
              <w:right w:val="nil"/>
            </w:tcBorders>
            <w:shd w:val="clear" w:color="auto" w:fill="1F2D4A"/>
            <w:tcMar>
              <w:top w:w="160" w:type="dxa"/>
              <w:left w:w="160" w:type="dxa"/>
              <w:bottom w:w="160" w:type="dxa"/>
              <w:right w:w="160" w:type="dxa"/>
            </w:tcMar>
          </w:tcPr>
          <w:p w14:paraId="1D74D92D" w14:textId="77777777" w:rsidR="006462FB" w:rsidRDefault="00314B85">
            <w:pPr>
              <w:rPr>
                <w:rFonts w:hint="eastAsia"/>
              </w:rPr>
            </w:pPr>
            <w:r>
              <w:rPr>
                <w:b/>
                <w:color w:val="888780"/>
                <w:spacing w:val="60"/>
                <w:sz w:val="17"/>
              </w:rPr>
              <w:t>RED OCEAN</w:t>
            </w:r>
          </w:p>
          <w:p w14:paraId="26BC4434" w14:textId="77777777" w:rsidR="006462FB" w:rsidRDefault="00314B85">
            <w:pPr>
              <w:spacing w:after="160"/>
              <w:rPr>
                <w:rFonts w:hint="eastAsia"/>
              </w:rPr>
            </w:pPr>
            <w:r>
              <w:rPr>
                <w:sz w:val="26"/>
              </w:rPr>
              <w:t>Big Consulting</w:t>
            </w:r>
          </w:p>
          <w:p w14:paraId="1F9142DA" w14:textId="77777777" w:rsidR="006462FB" w:rsidRDefault="00314B85">
            <w:pPr>
              <w:spacing w:after="60"/>
              <w:rPr>
                <w:rFonts w:hint="eastAsia"/>
              </w:rPr>
            </w:pPr>
            <w:r>
              <w:rPr>
                <w:b/>
                <w:color w:val="F2C94C"/>
                <w:sz w:val="17"/>
              </w:rPr>
              <w:t xml:space="preserve">→  </w:t>
            </w:r>
            <w:r>
              <w:rPr>
                <w:sz w:val="17"/>
              </w:rPr>
              <w:t>Bills by hours or project fees</w:t>
            </w:r>
          </w:p>
          <w:p w14:paraId="22BE755F" w14:textId="77777777" w:rsidR="006462FB" w:rsidRDefault="00314B85">
            <w:pPr>
              <w:spacing w:after="60"/>
              <w:rPr>
                <w:rFonts w:hint="eastAsia"/>
              </w:rPr>
            </w:pPr>
            <w:r>
              <w:rPr>
                <w:b/>
                <w:color w:val="F2C94C"/>
                <w:sz w:val="17"/>
              </w:rPr>
              <w:t xml:space="preserve">→  </w:t>
            </w:r>
            <w:r>
              <w:rPr>
                <w:sz w:val="17"/>
              </w:rPr>
              <w:t>Delivers strategy documents</w:t>
            </w:r>
          </w:p>
          <w:p w14:paraId="7FA97E9F" w14:textId="77777777" w:rsidR="006462FB" w:rsidRDefault="00314B85">
            <w:pPr>
              <w:spacing w:after="60"/>
              <w:rPr>
                <w:rFonts w:hint="eastAsia"/>
              </w:rPr>
            </w:pPr>
            <w:r>
              <w:rPr>
                <w:b/>
                <w:color w:val="F2C94C"/>
                <w:sz w:val="17"/>
              </w:rPr>
              <w:t xml:space="preserve">→  </w:t>
            </w:r>
            <w:r>
              <w:rPr>
                <w:sz w:val="17"/>
              </w:rPr>
              <w:t>No accountability for outcomes</w:t>
            </w:r>
          </w:p>
          <w:p w14:paraId="246B940C" w14:textId="77777777" w:rsidR="006462FB" w:rsidRDefault="00314B85">
            <w:pPr>
              <w:spacing w:after="60"/>
              <w:rPr>
                <w:rFonts w:hint="eastAsia"/>
              </w:rPr>
            </w:pPr>
            <w:r>
              <w:rPr>
                <w:b/>
                <w:color w:val="F2C94C"/>
                <w:sz w:val="17"/>
              </w:rPr>
              <w:t xml:space="preserve">→  </w:t>
            </w:r>
            <w:r>
              <w:rPr>
                <w:sz w:val="17"/>
              </w:rPr>
              <w:t>Exits after handoff</w:t>
            </w:r>
          </w:p>
          <w:p w14:paraId="4E1B549E" w14:textId="77777777" w:rsidR="006462FB" w:rsidRDefault="00314B85">
            <w:pPr>
              <w:spacing w:after="60"/>
              <w:rPr>
                <w:rFonts w:hint="eastAsia"/>
              </w:rPr>
            </w:pPr>
            <w:r>
              <w:rPr>
                <w:b/>
                <w:color w:val="F2C94C"/>
                <w:sz w:val="17"/>
              </w:rPr>
              <w:t xml:space="preserve">→  </w:t>
            </w:r>
            <w:r>
              <w:rPr>
                <w:sz w:val="17"/>
              </w:rPr>
              <w:t>6-18 months to see anything</w:t>
            </w:r>
          </w:p>
          <w:p w14:paraId="098A1D73" w14:textId="77777777" w:rsidR="006462FB" w:rsidRDefault="00314B85">
            <w:pPr>
              <w:spacing w:after="60"/>
              <w:rPr>
                <w:rFonts w:hint="eastAsia"/>
              </w:rPr>
            </w:pPr>
            <w:r>
              <w:rPr>
                <w:b/>
                <w:color w:val="F2C94C"/>
                <w:sz w:val="17"/>
              </w:rPr>
              <w:t xml:space="preserve">→  </w:t>
            </w:r>
            <w:r>
              <w:rPr>
                <w:sz w:val="17"/>
              </w:rPr>
              <w:t>Only 25% of McKinsey fees outcome-tied</w:t>
            </w:r>
          </w:p>
          <w:p w14:paraId="12987569" w14:textId="77777777" w:rsidR="006462FB" w:rsidRDefault="00314B85">
            <w:pPr>
              <w:spacing w:after="60"/>
              <w:rPr>
                <w:rFonts w:hint="eastAsia"/>
              </w:rPr>
            </w:pPr>
            <w:r>
              <w:rPr>
                <w:b/>
                <w:color w:val="F2C94C"/>
                <w:sz w:val="17"/>
              </w:rPr>
              <w:t xml:space="preserve">→  </w:t>
            </w:r>
            <w:r>
              <w:rPr>
                <w:sz w:val="17"/>
              </w:rPr>
              <w:t>Zimmer Biomet sued Deloitte for $172M (2025)</w:t>
            </w:r>
          </w:p>
        </w:tc>
        <w:tc>
          <w:tcPr>
            <w:tcW w:w="3355" w:type="dxa"/>
            <w:tcBorders>
              <w:top w:val="nil"/>
              <w:left w:val="nil"/>
              <w:bottom w:val="nil"/>
              <w:right w:val="nil"/>
            </w:tcBorders>
            <w:shd w:val="clear" w:color="auto" w:fill="1F2D4A"/>
            <w:tcMar>
              <w:top w:w="160" w:type="dxa"/>
              <w:left w:w="160" w:type="dxa"/>
              <w:bottom w:w="160" w:type="dxa"/>
              <w:right w:w="160" w:type="dxa"/>
            </w:tcMar>
          </w:tcPr>
          <w:p w14:paraId="7DDCEC32" w14:textId="77777777" w:rsidR="006462FB" w:rsidRDefault="00314B85">
            <w:pPr>
              <w:rPr>
                <w:rFonts w:hint="eastAsia"/>
              </w:rPr>
            </w:pPr>
            <w:r>
              <w:rPr>
                <w:b/>
                <w:color w:val="888780"/>
                <w:spacing w:val="60"/>
                <w:sz w:val="17"/>
              </w:rPr>
              <w:t>RED OCEAN</w:t>
            </w:r>
          </w:p>
          <w:p w14:paraId="1F5E3D11" w14:textId="77777777" w:rsidR="006462FB" w:rsidRDefault="00314B85">
            <w:pPr>
              <w:spacing w:after="160"/>
              <w:rPr>
                <w:rFonts w:hint="eastAsia"/>
              </w:rPr>
            </w:pPr>
            <w:r>
              <w:rPr>
                <w:sz w:val="26"/>
              </w:rPr>
              <w:t>AI SaaS</w:t>
            </w:r>
          </w:p>
          <w:p w14:paraId="7D59753C" w14:textId="77777777" w:rsidR="006462FB" w:rsidRDefault="00314B85">
            <w:pPr>
              <w:spacing w:after="60"/>
              <w:rPr>
                <w:rFonts w:hint="eastAsia"/>
              </w:rPr>
            </w:pPr>
            <w:r>
              <w:rPr>
                <w:b/>
                <w:color w:val="F2C94C"/>
                <w:sz w:val="17"/>
              </w:rPr>
              <w:t xml:space="preserve">→  </w:t>
            </w:r>
            <w:r>
              <w:rPr>
                <w:sz w:val="17"/>
              </w:rPr>
              <w:t>Seat or usage licensing</w:t>
            </w:r>
          </w:p>
          <w:p w14:paraId="6BF38A9C" w14:textId="77777777" w:rsidR="006462FB" w:rsidRDefault="00314B85">
            <w:pPr>
              <w:spacing w:after="60"/>
              <w:rPr>
                <w:rFonts w:hint="eastAsia"/>
              </w:rPr>
            </w:pPr>
            <w:r>
              <w:rPr>
                <w:b/>
                <w:color w:val="F2C94C"/>
                <w:sz w:val="17"/>
              </w:rPr>
              <w:t xml:space="preserve">→  </w:t>
            </w:r>
            <w:r>
              <w:rPr>
                <w:sz w:val="17"/>
              </w:rPr>
              <w:t>Self-serve, no expert support</w:t>
            </w:r>
          </w:p>
          <w:p w14:paraId="791980C6" w14:textId="77777777" w:rsidR="006462FB" w:rsidRDefault="00314B85">
            <w:pPr>
              <w:spacing w:after="60"/>
              <w:rPr>
                <w:rFonts w:hint="eastAsia"/>
              </w:rPr>
            </w:pPr>
            <w:r>
              <w:rPr>
                <w:b/>
                <w:color w:val="F2C94C"/>
                <w:sz w:val="17"/>
              </w:rPr>
              <w:t xml:space="preserve">→  </w:t>
            </w:r>
            <w:r>
              <w:rPr>
                <w:sz w:val="17"/>
              </w:rPr>
              <w:t>Buyer figures out ROI alone</w:t>
            </w:r>
          </w:p>
          <w:p w14:paraId="626E20BE" w14:textId="77777777" w:rsidR="006462FB" w:rsidRDefault="00314B85">
            <w:pPr>
              <w:spacing w:after="60"/>
              <w:rPr>
                <w:rFonts w:hint="eastAsia"/>
              </w:rPr>
            </w:pPr>
            <w:r>
              <w:rPr>
                <w:b/>
                <w:color w:val="F2C94C"/>
                <w:sz w:val="17"/>
              </w:rPr>
              <w:t xml:space="preserve">→  </w:t>
            </w:r>
            <w:r>
              <w:rPr>
                <w:sz w:val="17"/>
              </w:rPr>
              <w:t>Fast to buy, slow to prove value</w:t>
            </w:r>
          </w:p>
          <w:p w14:paraId="35EAF9C2" w14:textId="77777777" w:rsidR="006462FB" w:rsidRDefault="00314B85">
            <w:pPr>
              <w:spacing w:after="60"/>
              <w:rPr>
                <w:rFonts w:hint="eastAsia"/>
              </w:rPr>
            </w:pPr>
            <w:r>
              <w:rPr>
                <w:b/>
                <w:color w:val="F2C94C"/>
                <w:sz w:val="17"/>
              </w:rPr>
              <w:t xml:space="preserve">→  </w:t>
            </w:r>
            <w:r>
              <w:rPr>
                <w:sz w:val="17"/>
              </w:rPr>
              <w:t>500-1000% cost blowout at scale</w:t>
            </w:r>
          </w:p>
          <w:p w14:paraId="127C4E10" w14:textId="77777777" w:rsidR="006462FB" w:rsidRDefault="00314B85">
            <w:pPr>
              <w:spacing w:after="60"/>
              <w:rPr>
                <w:rFonts w:hint="eastAsia"/>
              </w:rPr>
            </w:pPr>
            <w:r>
              <w:rPr>
                <w:b/>
                <w:color w:val="F2C94C"/>
                <w:sz w:val="17"/>
              </w:rPr>
              <w:t xml:space="preserve">→  </w:t>
            </w:r>
            <w:r>
              <w:rPr>
                <w:sz w:val="17"/>
              </w:rPr>
              <w:t>Only 23% of buyers see agent ROI</w:t>
            </w:r>
          </w:p>
          <w:p w14:paraId="45CB7356" w14:textId="77777777" w:rsidR="006462FB" w:rsidRDefault="00314B85">
            <w:pPr>
              <w:spacing w:after="60"/>
              <w:rPr>
                <w:rFonts w:hint="eastAsia"/>
              </w:rPr>
            </w:pPr>
            <w:r>
              <w:rPr>
                <w:b/>
                <w:color w:val="F2C94C"/>
                <w:sz w:val="17"/>
              </w:rPr>
              <w:t xml:space="preserve">→  </w:t>
            </w:r>
            <w:r>
              <w:rPr>
                <w:sz w:val="17"/>
              </w:rPr>
              <w:t>71% use GenAI but only 31% scaled it</w:t>
            </w:r>
          </w:p>
        </w:tc>
        <w:tc>
          <w:tcPr>
            <w:tcW w:w="3355" w:type="dxa"/>
            <w:tcBorders>
              <w:top w:val="nil"/>
              <w:left w:val="single" w:sz="24" w:space="0" w:color="F2C94C"/>
              <w:bottom w:val="nil"/>
              <w:right w:val="nil"/>
            </w:tcBorders>
            <w:shd w:val="clear" w:color="auto" w:fill="1F2D4A"/>
            <w:tcMar>
              <w:top w:w="160" w:type="dxa"/>
              <w:left w:w="160" w:type="dxa"/>
              <w:bottom w:w="160" w:type="dxa"/>
              <w:right w:w="160" w:type="dxa"/>
            </w:tcMar>
          </w:tcPr>
          <w:p w14:paraId="29147493" w14:textId="77777777" w:rsidR="006462FB" w:rsidRDefault="00314B85">
            <w:pPr>
              <w:rPr>
                <w:rFonts w:hint="eastAsia"/>
              </w:rPr>
            </w:pPr>
            <w:r>
              <w:rPr>
                <w:b/>
                <w:color w:val="F2C94C"/>
                <w:spacing w:val="60"/>
                <w:sz w:val="17"/>
              </w:rPr>
              <w:t>BLUE OCEAN</w:t>
            </w:r>
          </w:p>
          <w:p w14:paraId="10C8E613" w14:textId="77777777" w:rsidR="006462FB" w:rsidRDefault="00314B85">
            <w:pPr>
              <w:spacing w:after="160"/>
              <w:rPr>
                <w:rFonts w:hint="eastAsia"/>
              </w:rPr>
            </w:pPr>
            <w:r>
              <w:rPr>
                <w:sz w:val="26"/>
              </w:rPr>
              <w:t>Ruptiv</w:t>
            </w:r>
          </w:p>
          <w:p w14:paraId="062F2300" w14:textId="77777777" w:rsidR="006462FB" w:rsidRDefault="00314B85">
            <w:pPr>
              <w:spacing w:after="60"/>
              <w:rPr>
                <w:rFonts w:hint="eastAsia"/>
              </w:rPr>
            </w:pPr>
            <w:r>
              <w:rPr>
                <w:b/>
                <w:color w:val="F2C94C"/>
                <w:sz w:val="17"/>
              </w:rPr>
              <w:t xml:space="preserve">→  </w:t>
            </w:r>
            <w:r>
              <w:rPr>
                <w:sz w:val="17"/>
              </w:rPr>
              <w:t>Paid Diagnostic Engagement, converts to credit</w:t>
            </w:r>
          </w:p>
          <w:p w14:paraId="595E5E09" w14:textId="77777777" w:rsidR="006462FB" w:rsidRDefault="00314B85">
            <w:pPr>
              <w:spacing w:after="60"/>
              <w:rPr>
                <w:rFonts w:hint="eastAsia"/>
              </w:rPr>
            </w:pPr>
            <w:r>
              <w:rPr>
                <w:b/>
                <w:color w:val="F2C94C"/>
                <w:sz w:val="17"/>
              </w:rPr>
              <w:t xml:space="preserve">→  </w:t>
            </w:r>
            <w:r>
              <w:rPr>
                <w:sz w:val="17"/>
              </w:rPr>
              <w:t>Pre-agreed baseline before work starts</w:t>
            </w:r>
          </w:p>
          <w:p w14:paraId="144A7177" w14:textId="77777777" w:rsidR="006462FB" w:rsidRDefault="00314B85">
            <w:pPr>
              <w:spacing w:after="60"/>
              <w:rPr>
                <w:rFonts w:hint="eastAsia"/>
              </w:rPr>
            </w:pPr>
            <w:r>
              <w:rPr>
                <w:b/>
                <w:color w:val="F2C94C"/>
                <w:sz w:val="17"/>
              </w:rPr>
              <w:t xml:space="preserve">→  </w:t>
            </w:r>
            <w:r>
              <w:rPr>
                <w:sz w:val="17"/>
              </w:rPr>
              <w:t>First Sparring Partner live in two weeks</w:t>
            </w:r>
          </w:p>
          <w:p w14:paraId="06EF8ED1" w14:textId="77777777" w:rsidR="006462FB" w:rsidRDefault="00314B85">
            <w:pPr>
              <w:spacing w:after="60"/>
              <w:rPr>
                <w:rFonts w:hint="eastAsia"/>
              </w:rPr>
            </w:pPr>
            <w:r>
              <w:rPr>
                <w:b/>
                <w:color w:val="F2C94C"/>
                <w:sz w:val="17"/>
              </w:rPr>
              <w:t xml:space="preserve">→  </w:t>
            </w:r>
            <w:r>
              <w:rPr>
                <w:sz w:val="17"/>
              </w:rPr>
              <w:t>Atlas View plus embedded squad</w:t>
            </w:r>
          </w:p>
          <w:p w14:paraId="2F469E53" w14:textId="77777777" w:rsidR="006462FB" w:rsidRDefault="00314B85">
            <w:pPr>
              <w:spacing w:after="60"/>
              <w:rPr>
                <w:rFonts w:hint="eastAsia"/>
              </w:rPr>
            </w:pPr>
            <w:r>
              <w:rPr>
                <w:b/>
                <w:color w:val="F2C94C"/>
                <w:sz w:val="17"/>
              </w:rPr>
              <w:t xml:space="preserve">→  </w:t>
            </w:r>
            <w:r>
              <w:rPr>
                <w:sz w:val="17"/>
              </w:rPr>
              <w:t>Ruptiv owns the workflow transformation</w:t>
            </w:r>
          </w:p>
          <w:p w14:paraId="4334AB0C" w14:textId="77777777" w:rsidR="006462FB" w:rsidRDefault="00314B85">
            <w:pPr>
              <w:spacing w:after="60"/>
              <w:rPr>
                <w:rFonts w:hint="eastAsia"/>
              </w:rPr>
            </w:pPr>
            <w:r>
              <w:rPr>
                <w:b/>
                <w:color w:val="F2C94C"/>
                <w:sz w:val="17"/>
              </w:rPr>
              <w:t xml:space="preserve">→  </w:t>
            </w:r>
            <w:r>
              <w:rPr>
                <w:sz w:val="17"/>
              </w:rPr>
              <w:t>Disruption priced as proxy for documented savings</w:t>
            </w:r>
          </w:p>
          <w:p w14:paraId="5692BD7B" w14:textId="77777777" w:rsidR="006462FB" w:rsidRDefault="00314B85">
            <w:pPr>
              <w:spacing w:after="60"/>
              <w:rPr>
                <w:rFonts w:hint="eastAsia"/>
              </w:rPr>
            </w:pPr>
            <w:r>
              <w:rPr>
                <w:b/>
                <w:color w:val="F2C94C"/>
                <w:sz w:val="17"/>
              </w:rPr>
              <w:t xml:space="preserve">→  </w:t>
            </w:r>
            <w:r>
              <w:rPr>
                <w:sz w:val="17"/>
              </w:rPr>
              <w:t>73% of buyers want this model</w:t>
            </w:r>
          </w:p>
        </w:tc>
      </w:tr>
    </w:tbl>
    <w:p w14:paraId="6C606E2D" w14:textId="77777777" w:rsidR="006462FB" w:rsidRDefault="006462FB">
      <w:pPr>
        <w:spacing w:after="200"/>
        <w:rPr>
          <w:rFonts w:hint="eastAsia"/>
        </w:rPr>
      </w:pPr>
    </w:p>
    <w:p w14:paraId="4A6FA8B6" w14:textId="77777777" w:rsidR="006462FB" w:rsidRDefault="00314B85">
      <w:pPr>
        <w:spacing w:after="160"/>
        <w:rPr>
          <w:rFonts w:hint="eastAsia"/>
        </w:rPr>
      </w:pPr>
      <w:r>
        <w:t>The large consultancies know this gap exists. They cannot close it without upending how they charge. McKinsey has moved roughly 25% of fees to outcome-based contracts after years of effort. The rest of the industry is further behind.</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2695EDBB"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38A82B67" w14:textId="77777777" w:rsidR="006462FB" w:rsidRDefault="00314B85">
            <w:pPr>
              <w:spacing w:after="0"/>
              <w:rPr>
                <w:rFonts w:hint="eastAsia"/>
              </w:rPr>
            </w:pPr>
            <w:r>
              <w:rPr>
                <w:sz w:val="24"/>
              </w:rPr>
              <w:t>That constraint is Ruptiv's opening.</w:t>
            </w:r>
          </w:p>
        </w:tc>
      </w:tr>
    </w:tbl>
    <w:p w14:paraId="60CDD435" w14:textId="77777777" w:rsidR="006462FB" w:rsidRDefault="006462FB">
      <w:pPr>
        <w:rPr>
          <w:rFonts w:hint="eastAsia"/>
        </w:rPr>
      </w:pPr>
    </w:p>
    <w:p w14:paraId="5352D4B6"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70B98646" w14:textId="77777777">
        <w:tc>
          <w:tcPr>
            <w:tcW w:w="8640" w:type="dxa"/>
            <w:tcBorders>
              <w:top w:val="nil"/>
              <w:left w:val="nil"/>
              <w:bottom w:val="nil"/>
              <w:right w:val="nil"/>
            </w:tcBorders>
            <w:tcMar>
              <w:top w:w="0" w:type="dxa"/>
              <w:left w:w="0" w:type="dxa"/>
              <w:bottom w:w="40" w:type="dxa"/>
              <w:right w:w="0" w:type="dxa"/>
            </w:tcMar>
          </w:tcPr>
          <w:p w14:paraId="2BB733B1" w14:textId="77777777" w:rsidR="006462FB" w:rsidRDefault="00314B85">
            <w:pPr>
              <w:spacing w:after="0"/>
              <w:rPr>
                <w:rFonts w:hint="eastAsia"/>
              </w:rPr>
            </w:pPr>
            <w:r>
              <w:rPr>
                <w:b/>
                <w:color w:val="888780"/>
                <w:spacing w:val="60"/>
                <w:sz w:val="18"/>
              </w:rPr>
              <w:lastRenderedPageBreak/>
              <w:t>06 / THE FOUR ACTIONS</w:t>
            </w:r>
          </w:p>
        </w:tc>
        <w:tc>
          <w:tcPr>
            <w:tcW w:w="1440" w:type="dxa"/>
            <w:tcBorders>
              <w:top w:val="nil"/>
              <w:left w:val="nil"/>
              <w:bottom w:val="nil"/>
              <w:right w:val="nil"/>
            </w:tcBorders>
            <w:tcMar>
              <w:top w:w="0" w:type="dxa"/>
              <w:left w:w="0" w:type="dxa"/>
              <w:bottom w:w="40" w:type="dxa"/>
              <w:right w:w="0" w:type="dxa"/>
            </w:tcMar>
          </w:tcPr>
          <w:p w14:paraId="2E46E485" w14:textId="77777777" w:rsidR="006462FB" w:rsidRDefault="00314B85">
            <w:pPr>
              <w:spacing w:after="0"/>
              <w:jc w:val="right"/>
              <w:rPr>
                <w:rFonts w:hint="eastAsia"/>
              </w:rPr>
            </w:pPr>
            <w:r>
              <w:rPr>
                <w:color w:val="888780"/>
                <w:sz w:val="18"/>
              </w:rPr>
              <w:t>07</w:t>
            </w:r>
          </w:p>
        </w:tc>
      </w:tr>
    </w:tbl>
    <w:p w14:paraId="186121F8" w14:textId="77777777" w:rsidR="006462FB" w:rsidRDefault="00314B85">
      <w:pPr>
        <w:pBdr>
          <w:bottom w:val="single" w:sz="4" w:space="1" w:color="1F2D4A"/>
        </w:pBdr>
        <w:spacing w:after="240"/>
        <w:rPr>
          <w:rFonts w:hint="eastAsia"/>
        </w:rPr>
      </w:pPr>
      <w:r>
        <w:t xml:space="preserve"> </w:t>
      </w:r>
    </w:p>
    <w:p w14:paraId="6160E85B" w14:textId="77777777" w:rsidR="006462FB" w:rsidRDefault="00314B85">
      <w:pPr>
        <w:rPr>
          <w:rFonts w:hint="eastAsia"/>
        </w:rPr>
      </w:pPr>
      <w:r>
        <w:rPr>
          <w:b/>
          <w:color w:val="4FC3DC"/>
          <w:spacing w:val="60"/>
          <w:sz w:val="18"/>
        </w:rPr>
        <w:t>SECTION 06</w:t>
      </w:r>
    </w:p>
    <w:p w14:paraId="5DBECCEA" w14:textId="77777777" w:rsidR="006462FB" w:rsidRDefault="00314B85">
      <w:pPr>
        <w:spacing w:after="120"/>
        <w:rPr>
          <w:rFonts w:hint="eastAsia"/>
        </w:rPr>
      </w:pPr>
      <w:r>
        <w:rPr>
          <w:sz w:val="44"/>
        </w:rPr>
        <w:t>The four actions.</w:t>
      </w:r>
    </w:p>
    <w:p w14:paraId="7BC80F63" w14:textId="77777777" w:rsidR="006462FB" w:rsidRDefault="00314B85">
      <w:pPr>
        <w:spacing w:after="200"/>
        <w:rPr>
          <w:rFonts w:hint="eastAsia"/>
        </w:rPr>
      </w:pPr>
      <w:r>
        <w:rPr>
          <w:i/>
          <w:sz w:val="22"/>
        </w:rPr>
        <w:t>What Ruptiv removes, reduces, raises, and creates relative to the current market.</w:t>
      </w:r>
    </w:p>
    <w:p w14:paraId="450335C3" w14:textId="77777777" w:rsidR="006462FB" w:rsidRDefault="00314B85">
      <w:pPr>
        <w:pBdr>
          <w:bottom w:val="single" w:sz="18" w:space="1" w:color="F2C94C"/>
        </w:pBdr>
        <w:spacing w:before="40" w:after="200"/>
        <w:ind w:right="5800"/>
        <w:rPr>
          <w:rFonts w:hint="eastAsia"/>
        </w:rPr>
      </w:pPr>
      <w:r>
        <w:t xml:space="preserve"> </w:t>
      </w:r>
    </w:p>
    <w:tbl>
      <w:tblPr>
        <w:tblW w:w="0" w:type="auto"/>
        <w:tblBorders>
          <w:top w:val="nil"/>
          <w:left w:val="nil"/>
          <w:bottom w:val="nil"/>
          <w:right w:val="nil"/>
          <w:insideH w:val="nil"/>
          <w:insideV w:val="nil"/>
        </w:tblBorders>
        <w:tblLook w:val="04A0" w:firstRow="1" w:lastRow="0" w:firstColumn="1" w:lastColumn="0" w:noHBand="0" w:noVBand="1"/>
      </w:tblPr>
      <w:tblGrid>
        <w:gridCol w:w="5026"/>
        <w:gridCol w:w="5024"/>
      </w:tblGrid>
      <w:tr w:rsidR="006462FB" w14:paraId="108BE265" w14:textId="77777777">
        <w:tc>
          <w:tcPr>
            <w:tcW w:w="5040" w:type="dxa"/>
            <w:tcBorders>
              <w:top w:val="nil"/>
              <w:left w:val="single" w:sz="24" w:space="0" w:color="F2C94C"/>
              <w:bottom w:val="nil"/>
              <w:right w:val="nil"/>
            </w:tcBorders>
            <w:shd w:val="clear" w:color="auto" w:fill="1F2D4A"/>
            <w:tcMar>
              <w:top w:w="160" w:type="dxa"/>
              <w:left w:w="180" w:type="dxa"/>
              <w:bottom w:w="160" w:type="dxa"/>
              <w:right w:w="180" w:type="dxa"/>
            </w:tcMar>
          </w:tcPr>
          <w:p w14:paraId="273249CA" w14:textId="77777777" w:rsidR="006462FB" w:rsidRDefault="00314B85">
            <w:pPr>
              <w:spacing w:after="160"/>
              <w:rPr>
                <w:rFonts w:hint="eastAsia"/>
              </w:rPr>
            </w:pPr>
            <w:r>
              <w:rPr>
                <w:b/>
                <w:color w:val="F2C94C"/>
                <w:spacing w:val="60"/>
              </w:rPr>
              <w:t>ELIMINATE</w:t>
            </w:r>
          </w:p>
          <w:p w14:paraId="4F459CF4" w14:textId="77777777" w:rsidR="006462FB" w:rsidRDefault="00314B85">
            <w:pPr>
              <w:rPr>
                <w:rFonts w:hint="eastAsia"/>
              </w:rPr>
            </w:pPr>
            <w:r>
              <w:rPr>
                <w:b/>
                <w:color w:val="F2C94C"/>
                <w:sz w:val="18"/>
              </w:rPr>
              <w:t xml:space="preserve">→  </w:t>
            </w:r>
            <w:r>
              <w:rPr>
                <w:sz w:val="18"/>
              </w:rPr>
              <w:t>Hourly billing and retainer fees</w:t>
            </w:r>
          </w:p>
          <w:p w14:paraId="3CA31CED" w14:textId="77777777" w:rsidR="006462FB" w:rsidRDefault="00314B85">
            <w:pPr>
              <w:rPr>
                <w:rFonts w:hint="eastAsia"/>
              </w:rPr>
            </w:pPr>
            <w:r>
              <w:rPr>
                <w:b/>
                <w:color w:val="F2C94C"/>
                <w:sz w:val="18"/>
              </w:rPr>
              <w:t xml:space="preserve">→  </w:t>
            </w:r>
            <w:r>
              <w:rPr>
                <w:sz w:val="18"/>
              </w:rPr>
              <w:t>Pilots that never reach production</w:t>
            </w:r>
          </w:p>
          <w:p w14:paraId="5899733B" w14:textId="77777777" w:rsidR="006462FB" w:rsidRDefault="00314B85">
            <w:pPr>
              <w:rPr>
                <w:rFonts w:hint="eastAsia"/>
              </w:rPr>
            </w:pPr>
            <w:r>
              <w:rPr>
                <w:b/>
                <w:color w:val="F2C94C"/>
                <w:sz w:val="18"/>
              </w:rPr>
              <w:t xml:space="preserve">→  </w:t>
            </w:r>
            <w:r>
              <w:rPr>
                <w:sz w:val="18"/>
              </w:rPr>
              <w:t>Strategy-first, build-never cycles</w:t>
            </w:r>
          </w:p>
          <w:p w14:paraId="11E6950C" w14:textId="77777777" w:rsidR="006462FB" w:rsidRDefault="00314B85">
            <w:pPr>
              <w:rPr>
                <w:rFonts w:hint="eastAsia"/>
              </w:rPr>
            </w:pPr>
            <w:r>
              <w:rPr>
                <w:b/>
                <w:color w:val="F2C94C"/>
                <w:sz w:val="18"/>
              </w:rPr>
              <w:t xml:space="preserve">→  </w:t>
            </w:r>
            <w:r>
              <w:rPr>
                <w:sz w:val="18"/>
              </w:rPr>
              <w:t>Vendor handoff with no accountability</w:t>
            </w:r>
          </w:p>
        </w:tc>
        <w:tc>
          <w:tcPr>
            <w:tcW w:w="5040" w:type="dxa"/>
            <w:tcBorders>
              <w:top w:val="nil"/>
              <w:left w:val="single" w:sz="24" w:space="0" w:color="F2C94C"/>
              <w:bottom w:val="nil"/>
              <w:right w:val="nil"/>
            </w:tcBorders>
            <w:shd w:val="clear" w:color="auto" w:fill="1F2D4A"/>
            <w:tcMar>
              <w:top w:w="160" w:type="dxa"/>
              <w:left w:w="180" w:type="dxa"/>
              <w:bottom w:w="160" w:type="dxa"/>
              <w:right w:w="180" w:type="dxa"/>
            </w:tcMar>
          </w:tcPr>
          <w:p w14:paraId="55F0B570" w14:textId="77777777" w:rsidR="006462FB" w:rsidRDefault="00314B85">
            <w:pPr>
              <w:spacing w:after="160"/>
              <w:rPr>
                <w:rFonts w:hint="eastAsia"/>
              </w:rPr>
            </w:pPr>
            <w:r>
              <w:rPr>
                <w:b/>
                <w:color w:val="F2C94C"/>
                <w:spacing w:val="60"/>
              </w:rPr>
              <w:t>REDUCE</w:t>
            </w:r>
          </w:p>
          <w:p w14:paraId="0E6D7FDA" w14:textId="77777777" w:rsidR="006462FB" w:rsidRDefault="00314B85">
            <w:pPr>
              <w:rPr>
                <w:rFonts w:hint="eastAsia"/>
              </w:rPr>
            </w:pPr>
            <w:r>
              <w:rPr>
                <w:b/>
                <w:color w:val="F2C94C"/>
                <w:sz w:val="18"/>
              </w:rPr>
              <w:t xml:space="preserve">→  </w:t>
            </w:r>
            <w:r>
              <w:rPr>
                <w:sz w:val="18"/>
              </w:rPr>
              <w:t>Time to first Sparring Partner live (target: two weeks)</w:t>
            </w:r>
          </w:p>
          <w:p w14:paraId="19CE92D5" w14:textId="77777777" w:rsidR="006462FB" w:rsidRDefault="00314B85">
            <w:pPr>
              <w:rPr>
                <w:rFonts w:hint="eastAsia"/>
              </w:rPr>
            </w:pPr>
            <w:r>
              <w:rPr>
                <w:b/>
                <w:color w:val="F2C94C"/>
                <w:sz w:val="18"/>
              </w:rPr>
              <w:t xml:space="preserve">→  </w:t>
            </w:r>
            <w:r>
              <w:rPr>
                <w:sz w:val="18"/>
              </w:rPr>
              <w:t>Client dependency on internal AI teams</w:t>
            </w:r>
          </w:p>
          <w:p w14:paraId="24E3B78B" w14:textId="77777777" w:rsidR="006462FB" w:rsidRDefault="00314B85">
            <w:pPr>
              <w:rPr>
                <w:rFonts w:hint="eastAsia"/>
              </w:rPr>
            </w:pPr>
            <w:r>
              <w:rPr>
                <w:b/>
                <w:color w:val="F2C94C"/>
                <w:sz w:val="18"/>
              </w:rPr>
              <w:t xml:space="preserve">→  </w:t>
            </w:r>
            <w:r>
              <w:rPr>
                <w:sz w:val="18"/>
              </w:rPr>
              <w:t>POC-to-production failure risk</w:t>
            </w:r>
          </w:p>
          <w:p w14:paraId="4F0511E2" w14:textId="77777777" w:rsidR="006462FB" w:rsidRDefault="00314B85">
            <w:pPr>
              <w:rPr>
                <w:rFonts w:hint="eastAsia"/>
              </w:rPr>
            </w:pPr>
            <w:r>
              <w:rPr>
                <w:b/>
                <w:color w:val="F2C94C"/>
                <w:sz w:val="18"/>
              </w:rPr>
              <w:t xml:space="preserve">→  </w:t>
            </w:r>
            <w:r>
              <w:rPr>
                <w:sz w:val="18"/>
              </w:rPr>
              <w:t>Average $7.2M sunk cost per initiative</w:t>
            </w:r>
          </w:p>
        </w:tc>
      </w:tr>
      <w:tr w:rsidR="006462FB" w14:paraId="539456B9" w14:textId="77777777">
        <w:tc>
          <w:tcPr>
            <w:tcW w:w="5040" w:type="dxa"/>
            <w:tcBorders>
              <w:top w:val="nil"/>
              <w:left w:val="single" w:sz="24" w:space="0" w:color="F2C94C"/>
              <w:bottom w:val="nil"/>
              <w:right w:val="nil"/>
            </w:tcBorders>
            <w:shd w:val="clear" w:color="auto" w:fill="1F2D4A"/>
            <w:tcMar>
              <w:top w:w="160" w:type="dxa"/>
              <w:left w:w="180" w:type="dxa"/>
              <w:bottom w:w="160" w:type="dxa"/>
              <w:right w:w="180" w:type="dxa"/>
            </w:tcMar>
          </w:tcPr>
          <w:p w14:paraId="6179079E" w14:textId="77777777" w:rsidR="006462FB" w:rsidRDefault="00314B85">
            <w:pPr>
              <w:spacing w:after="160"/>
              <w:rPr>
                <w:rFonts w:hint="eastAsia"/>
              </w:rPr>
            </w:pPr>
            <w:r>
              <w:rPr>
                <w:b/>
                <w:color w:val="F2C94C"/>
                <w:spacing w:val="60"/>
              </w:rPr>
              <w:t>RAISE</w:t>
            </w:r>
          </w:p>
          <w:p w14:paraId="7B262AD0" w14:textId="77777777" w:rsidR="006462FB" w:rsidRDefault="00314B85">
            <w:pPr>
              <w:rPr>
                <w:rFonts w:hint="eastAsia"/>
              </w:rPr>
            </w:pPr>
            <w:r>
              <w:rPr>
                <w:b/>
                <w:color w:val="F2C94C"/>
                <w:sz w:val="18"/>
              </w:rPr>
              <w:t xml:space="preserve">→  </w:t>
            </w:r>
            <w:r>
              <w:rPr>
                <w:sz w:val="18"/>
              </w:rPr>
              <w:t>Outcome accountability with real skin in the game</w:t>
            </w:r>
          </w:p>
          <w:p w14:paraId="0245556B" w14:textId="77777777" w:rsidR="006462FB" w:rsidRDefault="00314B85">
            <w:pPr>
              <w:rPr>
                <w:rFonts w:hint="eastAsia"/>
              </w:rPr>
            </w:pPr>
            <w:r>
              <w:rPr>
                <w:b/>
                <w:color w:val="F2C94C"/>
                <w:sz w:val="18"/>
              </w:rPr>
              <w:t xml:space="preserve">→  </w:t>
            </w:r>
            <w:r>
              <w:rPr>
                <w:sz w:val="18"/>
              </w:rPr>
              <w:t>Sparring Partner delivery speed and Forge throughput</w:t>
            </w:r>
          </w:p>
          <w:p w14:paraId="38EA940E" w14:textId="77777777" w:rsidR="006462FB" w:rsidRDefault="00314B85">
            <w:pPr>
              <w:rPr>
                <w:rFonts w:hint="eastAsia"/>
              </w:rPr>
            </w:pPr>
            <w:r>
              <w:rPr>
                <w:b/>
                <w:color w:val="F2C94C"/>
                <w:sz w:val="18"/>
              </w:rPr>
              <w:t xml:space="preserve">→  </w:t>
            </w:r>
            <w:r>
              <w:rPr>
                <w:sz w:val="18"/>
              </w:rPr>
              <w:t>Measurement tied to cost lines, not vanity KPIs</w:t>
            </w:r>
          </w:p>
          <w:p w14:paraId="1A3EC10C" w14:textId="77777777" w:rsidR="006462FB" w:rsidRDefault="00314B85">
            <w:pPr>
              <w:rPr>
                <w:rFonts w:hint="eastAsia"/>
              </w:rPr>
            </w:pPr>
            <w:r>
              <w:rPr>
                <w:b/>
                <w:color w:val="F2C94C"/>
                <w:sz w:val="18"/>
              </w:rPr>
              <w:t xml:space="preserve">→  </w:t>
            </w:r>
            <w:r>
              <w:rPr>
                <w:sz w:val="18"/>
              </w:rPr>
              <w:t>Client trust through real risk sharing</w:t>
            </w:r>
          </w:p>
        </w:tc>
        <w:tc>
          <w:tcPr>
            <w:tcW w:w="5040" w:type="dxa"/>
            <w:tcBorders>
              <w:top w:val="nil"/>
              <w:left w:val="single" w:sz="24" w:space="0" w:color="F2C94C"/>
              <w:bottom w:val="nil"/>
              <w:right w:val="nil"/>
            </w:tcBorders>
            <w:shd w:val="clear" w:color="auto" w:fill="1F2D4A"/>
            <w:tcMar>
              <w:top w:w="160" w:type="dxa"/>
              <w:left w:w="180" w:type="dxa"/>
              <w:bottom w:w="160" w:type="dxa"/>
              <w:right w:w="180" w:type="dxa"/>
            </w:tcMar>
          </w:tcPr>
          <w:p w14:paraId="74809950" w14:textId="77777777" w:rsidR="006462FB" w:rsidRDefault="00314B85">
            <w:pPr>
              <w:spacing w:after="160"/>
              <w:rPr>
                <w:rFonts w:hint="eastAsia"/>
              </w:rPr>
            </w:pPr>
            <w:r>
              <w:rPr>
                <w:b/>
                <w:color w:val="F2C94C"/>
                <w:spacing w:val="60"/>
              </w:rPr>
              <w:t>CREATE</w:t>
            </w:r>
          </w:p>
          <w:p w14:paraId="0486757F" w14:textId="77777777" w:rsidR="006462FB" w:rsidRDefault="00314B85">
            <w:pPr>
              <w:rPr>
                <w:rFonts w:hint="eastAsia"/>
              </w:rPr>
            </w:pPr>
            <w:r>
              <w:rPr>
                <w:b/>
                <w:color w:val="F2C94C"/>
                <w:sz w:val="18"/>
              </w:rPr>
              <w:t xml:space="preserve">→  </w:t>
            </w:r>
            <w:r>
              <w:rPr>
                <w:sz w:val="18"/>
              </w:rPr>
              <w:t>The End-to-End Workflow Disruptor category</w:t>
            </w:r>
          </w:p>
          <w:p w14:paraId="35563E1D" w14:textId="77777777" w:rsidR="006462FB" w:rsidRDefault="00314B85">
            <w:pPr>
              <w:rPr>
                <w:rFonts w:hint="eastAsia"/>
              </w:rPr>
            </w:pPr>
            <w:r>
              <w:rPr>
                <w:b/>
                <w:color w:val="F2C94C"/>
                <w:sz w:val="18"/>
              </w:rPr>
              <w:t xml:space="preserve">→  </w:t>
            </w:r>
            <w:r>
              <w:rPr>
                <w:sz w:val="18"/>
              </w:rPr>
              <w:t>The Agentic Enterprise as a destination</w:t>
            </w:r>
          </w:p>
          <w:p w14:paraId="4899A21F" w14:textId="77777777" w:rsidR="006462FB" w:rsidRDefault="00314B85">
            <w:pPr>
              <w:rPr>
                <w:rFonts w:hint="eastAsia"/>
              </w:rPr>
            </w:pPr>
            <w:r>
              <w:rPr>
                <w:b/>
                <w:color w:val="F2C94C"/>
                <w:sz w:val="18"/>
              </w:rPr>
              <w:t xml:space="preserve">→  </w:t>
            </w:r>
            <w:r>
              <w:rPr>
                <w:sz w:val="18"/>
              </w:rPr>
              <w:t>Atlas View plus embedded squads inside the client</w:t>
            </w:r>
          </w:p>
          <w:p w14:paraId="48ED52F5" w14:textId="77777777" w:rsidR="006462FB" w:rsidRDefault="00314B85">
            <w:pPr>
              <w:rPr>
                <w:rFonts w:hint="eastAsia"/>
              </w:rPr>
            </w:pPr>
            <w:r>
              <w:rPr>
                <w:b/>
                <w:color w:val="F2C94C"/>
                <w:sz w:val="18"/>
              </w:rPr>
              <w:t xml:space="preserve">→  </w:t>
            </w:r>
            <w:r>
              <w:rPr>
                <w:sz w:val="18"/>
              </w:rPr>
              <w:t>Listening Systems that keep running after Ruptiv leaves</w:t>
            </w:r>
          </w:p>
        </w:tc>
      </w:tr>
    </w:tbl>
    <w:p w14:paraId="7CCFC940" w14:textId="77777777" w:rsidR="006462FB" w:rsidRDefault="006462FB">
      <w:pPr>
        <w:spacing w:after="160"/>
        <w:rPr>
          <w:rFonts w:hint="eastAsia"/>
        </w:rPr>
      </w:pPr>
    </w:p>
    <w:p w14:paraId="4A68987B"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15CF22E7" w14:textId="77777777">
        <w:tc>
          <w:tcPr>
            <w:tcW w:w="8640" w:type="dxa"/>
            <w:tcBorders>
              <w:top w:val="nil"/>
              <w:left w:val="nil"/>
              <w:bottom w:val="nil"/>
              <w:right w:val="nil"/>
            </w:tcBorders>
            <w:tcMar>
              <w:top w:w="0" w:type="dxa"/>
              <w:left w:w="0" w:type="dxa"/>
              <w:bottom w:w="40" w:type="dxa"/>
              <w:right w:w="0" w:type="dxa"/>
            </w:tcMar>
          </w:tcPr>
          <w:p w14:paraId="29AE86D1" w14:textId="77777777" w:rsidR="006462FB" w:rsidRDefault="00314B85">
            <w:pPr>
              <w:spacing w:after="0"/>
              <w:rPr>
                <w:rFonts w:hint="eastAsia"/>
              </w:rPr>
            </w:pPr>
            <w:r>
              <w:rPr>
                <w:b/>
                <w:color w:val="888780"/>
                <w:spacing w:val="60"/>
                <w:sz w:val="18"/>
              </w:rPr>
              <w:lastRenderedPageBreak/>
              <w:t>07 / THE COMMERCIAL MODEL</w:t>
            </w:r>
          </w:p>
        </w:tc>
        <w:tc>
          <w:tcPr>
            <w:tcW w:w="1440" w:type="dxa"/>
            <w:tcBorders>
              <w:top w:val="nil"/>
              <w:left w:val="nil"/>
              <w:bottom w:val="nil"/>
              <w:right w:val="nil"/>
            </w:tcBorders>
            <w:tcMar>
              <w:top w:w="0" w:type="dxa"/>
              <w:left w:w="0" w:type="dxa"/>
              <w:bottom w:w="40" w:type="dxa"/>
              <w:right w:w="0" w:type="dxa"/>
            </w:tcMar>
          </w:tcPr>
          <w:p w14:paraId="2776DB7D" w14:textId="77777777" w:rsidR="006462FB" w:rsidRDefault="00314B85">
            <w:pPr>
              <w:spacing w:after="0"/>
              <w:jc w:val="right"/>
              <w:rPr>
                <w:rFonts w:hint="eastAsia"/>
              </w:rPr>
            </w:pPr>
            <w:r>
              <w:rPr>
                <w:color w:val="888780"/>
                <w:sz w:val="18"/>
              </w:rPr>
              <w:t>08</w:t>
            </w:r>
          </w:p>
        </w:tc>
      </w:tr>
    </w:tbl>
    <w:p w14:paraId="467ABF40" w14:textId="77777777" w:rsidR="006462FB" w:rsidRDefault="00314B85">
      <w:pPr>
        <w:pBdr>
          <w:bottom w:val="single" w:sz="4" w:space="1" w:color="1F2D4A"/>
        </w:pBdr>
        <w:spacing w:after="240"/>
        <w:rPr>
          <w:rFonts w:hint="eastAsia"/>
        </w:rPr>
      </w:pPr>
      <w:r>
        <w:t xml:space="preserve"> </w:t>
      </w:r>
    </w:p>
    <w:p w14:paraId="6E07D117" w14:textId="77777777" w:rsidR="006462FB" w:rsidRDefault="00314B85">
      <w:pPr>
        <w:rPr>
          <w:rFonts w:hint="eastAsia"/>
        </w:rPr>
      </w:pPr>
      <w:r>
        <w:rPr>
          <w:b/>
          <w:color w:val="4FC3DC"/>
          <w:spacing w:val="60"/>
          <w:sz w:val="18"/>
        </w:rPr>
        <w:t>SECTION 07</w:t>
      </w:r>
    </w:p>
    <w:p w14:paraId="3CED4D33" w14:textId="77777777" w:rsidR="006462FB" w:rsidRDefault="00314B85">
      <w:pPr>
        <w:spacing w:after="120"/>
        <w:rPr>
          <w:rFonts w:hint="eastAsia"/>
        </w:rPr>
      </w:pPr>
      <w:r>
        <w:rPr>
          <w:sz w:val="44"/>
        </w:rPr>
        <w:t>The commercial model.</w:t>
      </w:r>
    </w:p>
    <w:p w14:paraId="76B78274" w14:textId="77777777" w:rsidR="006462FB" w:rsidRDefault="00314B85">
      <w:pPr>
        <w:spacing w:after="200"/>
        <w:rPr>
          <w:rFonts w:hint="eastAsia"/>
        </w:rPr>
      </w:pPr>
      <w:r>
        <w:rPr>
          <w:i/>
          <w:sz w:val="22"/>
        </w:rPr>
        <w:t>Most AI vendors either charge by the hour or ask you to trust that the software will pay for itself. Ruptiv does neither.</w:t>
      </w:r>
    </w:p>
    <w:p w14:paraId="79148FAD" w14:textId="77777777" w:rsidR="006462FB" w:rsidRDefault="00314B85">
      <w:pPr>
        <w:pBdr>
          <w:bottom w:val="single" w:sz="18" w:space="1" w:color="F2C94C"/>
        </w:pBdr>
        <w:spacing w:before="40" w:after="200"/>
        <w:ind w:right="5800"/>
        <w:rPr>
          <w:rFonts w:hint="eastAsia"/>
        </w:rPr>
      </w:pPr>
      <w:r>
        <w:t xml:space="preserve"> </w:t>
      </w:r>
    </w:p>
    <w:p w14:paraId="24D8E3A6" w14:textId="77777777" w:rsidR="006462FB" w:rsidRDefault="00314B85">
      <w:pPr>
        <w:spacing w:after="200"/>
        <w:rPr>
          <w:rFonts w:hint="eastAsia"/>
        </w:rPr>
      </w:pPr>
      <w:r>
        <w:t>Three commercial categories structure how Ruptiv engages. The principle is constant: Ruptiv prices for outcomes. The invoice follows the proof.</w:t>
      </w:r>
    </w:p>
    <w:tbl>
      <w:tblPr>
        <w:tblW w:w="0" w:type="auto"/>
        <w:tblBorders>
          <w:top w:val="nil"/>
          <w:left w:val="nil"/>
          <w:bottom w:val="nil"/>
          <w:right w:val="nil"/>
          <w:insideH w:val="nil"/>
          <w:insideV w:val="nil"/>
        </w:tblBorders>
        <w:tblLook w:val="04A0" w:firstRow="1" w:lastRow="0" w:firstColumn="1" w:lastColumn="0" w:noHBand="0" w:noVBand="1"/>
      </w:tblPr>
      <w:tblGrid>
        <w:gridCol w:w="5025"/>
        <w:gridCol w:w="5025"/>
      </w:tblGrid>
      <w:tr w:rsidR="006462FB" w14:paraId="79B00E36" w14:textId="77777777">
        <w:tc>
          <w:tcPr>
            <w:tcW w:w="5040" w:type="dxa"/>
            <w:tcBorders>
              <w:top w:val="nil"/>
              <w:left w:val="single" w:sz="24" w:space="0" w:color="F2C94C"/>
              <w:bottom w:val="nil"/>
              <w:right w:val="nil"/>
            </w:tcBorders>
            <w:shd w:val="clear" w:color="auto" w:fill="1F2D4A"/>
            <w:tcMar>
              <w:top w:w="180" w:type="dxa"/>
              <w:left w:w="180" w:type="dxa"/>
              <w:bottom w:w="180" w:type="dxa"/>
              <w:right w:w="180" w:type="dxa"/>
            </w:tcMar>
          </w:tcPr>
          <w:p w14:paraId="2FA21E43" w14:textId="77777777" w:rsidR="006462FB" w:rsidRDefault="00314B85">
            <w:pPr>
              <w:rPr>
                <w:rFonts w:hint="eastAsia"/>
              </w:rPr>
            </w:pPr>
            <w:r>
              <w:rPr>
                <w:b/>
                <w:color w:val="888780"/>
                <w:spacing w:val="60"/>
                <w:sz w:val="18"/>
              </w:rPr>
              <w:t>STAGE 01</w:t>
            </w:r>
          </w:p>
          <w:p w14:paraId="796FCAB3" w14:textId="77777777" w:rsidR="006462FB" w:rsidRDefault="00314B85">
            <w:pPr>
              <w:spacing w:after="160"/>
              <w:rPr>
                <w:rFonts w:hint="eastAsia"/>
              </w:rPr>
            </w:pPr>
            <w:r>
              <w:rPr>
                <w:sz w:val="32"/>
              </w:rPr>
              <w:t>Diagnostic Engagement</w:t>
            </w:r>
          </w:p>
          <w:p w14:paraId="50C0377A" w14:textId="77777777" w:rsidR="006462FB" w:rsidRDefault="00314B85">
            <w:pPr>
              <w:spacing w:after="0"/>
              <w:rPr>
                <w:rFonts w:hint="eastAsia"/>
              </w:rPr>
            </w:pPr>
            <w:r>
              <w:rPr>
                <w:sz w:val="18"/>
              </w:rPr>
              <w:t>Paid work that produces a baseline. Before any platform installation, both sides agree which workflows, which cost lines, and how savings will be measured. The fee converts to credit on the Disruption Engagement that follows.</w:t>
            </w:r>
          </w:p>
        </w:tc>
        <w:tc>
          <w:tcPr>
            <w:tcW w:w="5040" w:type="dxa"/>
            <w:tcBorders>
              <w:top w:val="nil"/>
              <w:left w:val="single" w:sz="24" w:space="0" w:color="F2C94C"/>
              <w:bottom w:val="nil"/>
              <w:right w:val="nil"/>
            </w:tcBorders>
            <w:shd w:val="clear" w:color="auto" w:fill="1F2D4A"/>
            <w:tcMar>
              <w:top w:w="180" w:type="dxa"/>
              <w:left w:w="180" w:type="dxa"/>
              <w:bottom w:w="180" w:type="dxa"/>
              <w:right w:w="180" w:type="dxa"/>
            </w:tcMar>
          </w:tcPr>
          <w:p w14:paraId="791D264C" w14:textId="77777777" w:rsidR="006462FB" w:rsidRDefault="00314B85">
            <w:pPr>
              <w:rPr>
                <w:rFonts w:hint="eastAsia"/>
              </w:rPr>
            </w:pPr>
            <w:r>
              <w:rPr>
                <w:b/>
                <w:color w:val="888780"/>
                <w:spacing w:val="60"/>
                <w:sz w:val="18"/>
              </w:rPr>
              <w:t>STAGE 02</w:t>
            </w:r>
          </w:p>
          <w:p w14:paraId="6E532FC9" w14:textId="77777777" w:rsidR="006462FB" w:rsidRDefault="00314B85">
            <w:pPr>
              <w:spacing w:after="160"/>
              <w:rPr>
                <w:rFonts w:hint="eastAsia"/>
              </w:rPr>
            </w:pPr>
            <w:r>
              <w:rPr>
                <w:sz w:val="32"/>
              </w:rPr>
              <w:t>Disruption Engagement</w:t>
            </w:r>
          </w:p>
          <w:p w14:paraId="085D2DBB" w14:textId="77777777" w:rsidR="006462FB" w:rsidRDefault="00314B85">
            <w:pPr>
              <w:spacing w:after="0"/>
              <w:rPr>
                <w:rFonts w:hint="eastAsia"/>
              </w:rPr>
            </w:pPr>
            <w:r>
              <w:rPr>
                <w:sz w:val="18"/>
              </w:rPr>
              <w:t>Priced as a proxy for documented cost savings. The Engagement Listening System is installed. Sparring Partners are deployed into recomposed workflows. Savings documented against the pre-agreed baseline.</w:t>
            </w:r>
          </w:p>
        </w:tc>
      </w:tr>
    </w:tbl>
    <w:p w14:paraId="721E1F0E" w14:textId="77777777" w:rsidR="006462FB" w:rsidRDefault="006462FB">
      <w:pPr>
        <w:spacing w:after="200"/>
        <w:rPr>
          <w:rFonts w:hint="eastAsia"/>
        </w:rPr>
      </w:pPr>
    </w:p>
    <w:p w14:paraId="089A5C97" w14:textId="77777777" w:rsidR="006462FB" w:rsidRDefault="00314B85">
      <w:pPr>
        <w:spacing w:before="80"/>
        <w:rPr>
          <w:rFonts w:hint="eastAsia"/>
        </w:rPr>
      </w:pPr>
      <w:r>
        <w:rPr>
          <w:b/>
          <w:color w:val="4FC3DC"/>
          <w:spacing w:val="60"/>
          <w:sz w:val="18"/>
        </w:rPr>
        <w:t>STAGE 03: OPERATING ENGAGEMENT</w:t>
      </w:r>
    </w:p>
    <w:p w14:paraId="24DED41D" w14:textId="77777777" w:rsidR="006462FB" w:rsidRDefault="00314B85">
      <w:pPr>
        <w:spacing w:after="200"/>
        <w:rPr>
          <w:rFonts w:hint="eastAsia"/>
        </w:rPr>
      </w:pPr>
      <w:r>
        <w:t>Ongoing work after the Disruption is complete. The Operating Listening System runs continuously, with Ruptiv present to maintain it, run periodic reframes, manage the Sparring Partner roster, and surface drift to leadership. Subscription-shaped.</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1DC083C0"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137C2C69" w14:textId="77777777" w:rsidR="006462FB" w:rsidRDefault="00314B85">
            <w:pPr>
              <w:spacing w:after="0"/>
              <w:rPr>
                <w:rFonts w:hint="eastAsia"/>
              </w:rPr>
            </w:pPr>
            <w:r>
              <w:rPr>
                <w:i/>
                <w:sz w:val="21"/>
              </w:rPr>
              <w:t>The pre-agreed baseline is not an administrative step. It is the commercial foundation. Without it, every conversation about value becomes a negotiation. With it, the result speaks for itself.</w:t>
            </w:r>
          </w:p>
        </w:tc>
      </w:tr>
    </w:tbl>
    <w:p w14:paraId="7D8B1ACA" w14:textId="77777777" w:rsidR="006462FB" w:rsidRDefault="006462FB">
      <w:pPr>
        <w:rPr>
          <w:rFonts w:hint="eastAsia"/>
        </w:rPr>
      </w:pPr>
    </w:p>
    <w:p w14:paraId="5C8FA081"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3B80ECF8" w14:textId="77777777">
        <w:tc>
          <w:tcPr>
            <w:tcW w:w="8640" w:type="dxa"/>
            <w:tcBorders>
              <w:top w:val="nil"/>
              <w:left w:val="nil"/>
              <w:bottom w:val="nil"/>
              <w:right w:val="nil"/>
            </w:tcBorders>
            <w:tcMar>
              <w:top w:w="0" w:type="dxa"/>
              <w:left w:w="0" w:type="dxa"/>
              <w:bottom w:w="40" w:type="dxa"/>
              <w:right w:w="0" w:type="dxa"/>
            </w:tcMar>
          </w:tcPr>
          <w:p w14:paraId="0D0D6F13" w14:textId="77777777" w:rsidR="006462FB" w:rsidRDefault="00314B85">
            <w:pPr>
              <w:spacing w:after="0"/>
              <w:rPr>
                <w:rFonts w:hint="eastAsia"/>
              </w:rPr>
            </w:pPr>
            <w:r>
              <w:rPr>
                <w:b/>
                <w:color w:val="888780"/>
                <w:spacing w:val="60"/>
                <w:sz w:val="18"/>
              </w:rPr>
              <w:lastRenderedPageBreak/>
              <w:t>08 / THE OPPORTUNITY</w:t>
            </w:r>
          </w:p>
        </w:tc>
        <w:tc>
          <w:tcPr>
            <w:tcW w:w="1440" w:type="dxa"/>
            <w:tcBorders>
              <w:top w:val="nil"/>
              <w:left w:val="nil"/>
              <w:bottom w:val="nil"/>
              <w:right w:val="nil"/>
            </w:tcBorders>
            <w:tcMar>
              <w:top w:w="0" w:type="dxa"/>
              <w:left w:w="0" w:type="dxa"/>
              <w:bottom w:w="40" w:type="dxa"/>
              <w:right w:w="0" w:type="dxa"/>
            </w:tcMar>
          </w:tcPr>
          <w:p w14:paraId="576AE931" w14:textId="77777777" w:rsidR="006462FB" w:rsidRDefault="00314B85">
            <w:pPr>
              <w:spacing w:after="0"/>
              <w:jc w:val="right"/>
              <w:rPr>
                <w:rFonts w:hint="eastAsia"/>
              </w:rPr>
            </w:pPr>
            <w:r>
              <w:rPr>
                <w:color w:val="888780"/>
                <w:sz w:val="18"/>
              </w:rPr>
              <w:t>09</w:t>
            </w:r>
          </w:p>
        </w:tc>
      </w:tr>
    </w:tbl>
    <w:p w14:paraId="5C0FBCB6" w14:textId="77777777" w:rsidR="006462FB" w:rsidRDefault="00314B85">
      <w:pPr>
        <w:pBdr>
          <w:bottom w:val="single" w:sz="4" w:space="1" w:color="1F2D4A"/>
        </w:pBdr>
        <w:spacing w:after="240"/>
        <w:rPr>
          <w:rFonts w:hint="eastAsia"/>
        </w:rPr>
      </w:pPr>
      <w:r>
        <w:t xml:space="preserve"> </w:t>
      </w:r>
    </w:p>
    <w:p w14:paraId="62C76B0E" w14:textId="77777777" w:rsidR="006462FB" w:rsidRDefault="00314B85">
      <w:pPr>
        <w:rPr>
          <w:rFonts w:hint="eastAsia"/>
        </w:rPr>
      </w:pPr>
      <w:r>
        <w:rPr>
          <w:b/>
          <w:color w:val="4FC3DC"/>
          <w:spacing w:val="60"/>
          <w:sz w:val="18"/>
        </w:rPr>
        <w:t>SECTION 08</w:t>
      </w:r>
    </w:p>
    <w:p w14:paraId="1762E93B" w14:textId="77777777" w:rsidR="006462FB" w:rsidRDefault="00314B85">
      <w:pPr>
        <w:spacing w:after="200"/>
        <w:rPr>
          <w:rFonts w:hint="eastAsia"/>
        </w:rPr>
      </w:pPr>
      <w:r>
        <w:rPr>
          <w:sz w:val="48"/>
        </w:rPr>
        <w:t>The opportunity.</w:t>
      </w:r>
    </w:p>
    <w:tbl>
      <w:tblPr>
        <w:tblW w:w="0" w:type="auto"/>
        <w:tblBorders>
          <w:top w:val="nil"/>
          <w:left w:val="nil"/>
          <w:bottom w:val="nil"/>
          <w:right w:val="nil"/>
          <w:insideH w:val="nil"/>
          <w:insideV w:val="nil"/>
        </w:tblBorders>
        <w:tblLook w:val="04A0" w:firstRow="1" w:lastRow="0" w:firstColumn="1" w:lastColumn="0" w:noHBand="0" w:noVBand="1"/>
      </w:tblPr>
      <w:tblGrid>
        <w:gridCol w:w="5026"/>
        <w:gridCol w:w="5024"/>
      </w:tblGrid>
      <w:tr w:rsidR="006462FB" w14:paraId="5F617BCD" w14:textId="77777777">
        <w:tc>
          <w:tcPr>
            <w:tcW w:w="5040" w:type="dxa"/>
            <w:tcBorders>
              <w:top w:val="nil"/>
              <w:left w:val="single" w:sz="24" w:space="0" w:color="F2C94C"/>
              <w:bottom w:val="nil"/>
              <w:right w:val="nil"/>
            </w:tcBorders>
            <w:shd w:val="clear" w:color="auto" w:fill="1F2D4A"/>
            <w:tcMar>
              <w:top w:w="180" w:type="dxa"/>
              <w:left w:w="180" w:type="dxa"/>
              <w:bottom w:w="180" w:type="dxa"/>
              <w:right w:w="180" w:type="dxa"/>
            </w:tcMar>
          </w:tcPr>
          <w:p w14:paraId="489A3A8D" w14:textId="77777777" w:rsidR="006462FB" w:rsidRDefault="00314B85">
            <w:pPr>
              <w:rPr>
                <w:rFonts w:hint="eastAsia"/>
              </w:rPr>
            </w:pPr>
            <w:r>
              <w:rPr>
                <w:color w:val="F2C94C"/>
                <w:sz w:val="64"/>
              </w:rPr>
              <w:t>$547B</w:t>
            </w:r>
          </w:p>
          <w:p w14:paraId="5FC4FCF3" w14:textId="77777777" w:rsidR="006462FB" w:rsidRDefault="00314B85">
            <w:pPr>
              <w:rPr>
                <w:rFonts w:hint="eastAsia"/>
              </w:rPr>
            </w:pPr>
            <w:r>
              <w:rPr>
                <w:sz w:val="19"/>
              </w:rPr>
              <w:t>in failed enterprise AI investment in 2025 alone. That money gets re-spent. The question is who captures it next.</w:t>
            </w:r>
          </w:p>
          <w:p w14:paraId="2328EC4B" w14:textId="77777777" w:rsidR="006462FB" w:rsidRDefault="00314B85">
            <w:pPr>
              <w:spacing w:after="0"/>
              <w:rPr>
                <w:rFonts w:hint="eastAsia"/>
              </w:rPr>
            </w:pPr>
            <w:r>
              <w:rPr>
                <w:i/>
                <w:color w:val="888780"/>
                <w:sz w:val="17"/>
              </w:rPr>
              <w:t>RAND / Pertama Partners, 2025</w:t>
            </w:r>
          </w:p>
        </w:tc>
        <w:tc>
          <w:tcPr>
            <w:tcW w:w="5040" w:type="dxa"/>
            <w:tcBorders>
              <w:top w:val="nil"/>
              <w:left w:val="single" w:sz="24" w:space="0" w:color="F2C94C"/>
              <w:bottom w:val="nil"/>
              <w:right w:val="nil"/>
            </w:tcBorders>
            <w:shd w:val="clear" w:color="auto" w:fill="1F2D4A"/>
            <w:tcMar>
              <w:top w:w="180" w:type="dxa"/>
              <w:left w:w="180" w:type="dxa"/>
              <w:bottom w:w="180" w:type="dxa"/>
              <w:right w:w="180" w:type="dxa"/>
            </w:tcMar>
          </w:tcPr>
          <w:p w14:paraId="73FDAFF1" w14:textId="77777777" w:rsidR="006462FB" w:rsidRDefault="00314B85">
            <w:pPr>
              <w:rPr>
                <w:rFonts w:hint="eastAsia"/>
              </w:rPr>
            </w:pPr>
            <w:r>
              <w:rPr>
                <w:color w:val="F2C94C"/>
                <w:sz w:val="64"/>
              </w:rPr>
              <w:t>73%</w:t>
            </w:r>
          </w:p>
          <w:p w14:paraId="6653A151" w14:textId="77777777" w:rsidR="006462FB" w:rsidRDefault="00314B85">
            <w:pPr>
              <w:rPr>
                <w:rFonts w:hint="eastAsia"/>
              </w:rPr>
            </w:pPr>
            <w:r>
              <w:rPr>
                <w:sz w:val="19"/>
              </w:rPr>
              <w:t>of enterprise buyers now prefer to pay for outcomes rather than hours. Only 25% of McKinsey fees are currently outcome-linked.</w:t>
            </w:r>
          </w:p>
          <w:p w14:paraId="31608881" w14:textId="77777777" w:rsidR="006462FB" w:rsidRDefault="00314B85">
            <w:pPr>
              <w:spacing w:after="0"/>
              <w:rPr>
                <w:rFonts w:hint="eastAsia"/>
              </w:rPr>
            </w:pPr>
            <w:r>
              <w:rPr>
                <w:i/>
                <w:color w:val="888780"/>
                <w:sz w:val="17"/>
              </w:rPr>
              <w:t>Leanware / Future of Consulting AI, 2025-2026</w:t>
            </w:r>
          </w:p>
        </w:tc>
      </w:tr>
    </w:tbl>
    <w:p w14:paraId="39D7577E" w14:textId="77777777" w:rsidR="006462FB" w:rsidRDefault="006462FB">
      <w:pPr>
        <w:spacing w:after="240"/>
        <w:rPr>
          <w:rFonts w:hint="eastAsia"/>
        </w:rPr>
      </w:pPr>
    </w:p>
    <w:p w14:paraId="15444575" w14:textId="77777777" w:rsidR="006462FB" w:rsidRDefault="00314B85">
      <w:pPr>
        <w:spacing w:before="80" w:after="120"/>
        <w:rPr>
          <w:rFonts w:hint="eastAsia"/>
        </w:rPr>
      </w:pPr>
      <w:r>
        <w:rPr>
          <w:b/>
          <w:color w:val="4FC3DC"/>
          <w:spacing w:val="60"/>
          <w:sz w:val="18"/>
        </w:rPr>
        <w:t>THE SUPPORTING PICTURE</w:t>
      </w: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7050D63B"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77295452" w14:textId="77777777" w:rsidR="006462FB" w:rsidRDefault="00314B85">
            <w:pPr>
              <w:spacing w:after="0"/>
              <w:rPr>
                <w:rFonts w:hint="eastAsia"/>
              </w:rPr>
            </w:pPr>
            <w:r>
              <w:rPr>
                <w:b/>
                <w:color w:val="4FC3DC"/>
                <w:spacing w:val="50"/>
                <w:sz w:val="18"/>
              </w:rPr>
              <w:t>AGENTIC AI MARKET</w:t>
            </w:r>
          </w:p>
        </w:tc>
        <w:tc>
          <w:tcPr>
            <w:tcW w:w="7776" w:type="dxa"/>
            <w:tcBorders>
              <w:top w:val="nil"/>
              <w:left w:val="nil"/>
              <w:bottom w:val="nil"/>
              <w:right w:val="nil"/>
            </w:tcBorders>
            <w:shd w:val="clear" w:color="auto" w:fill="1F2D4A"/>
            <w:tcMar>
              <w:top w:w="120" w:type="dxa"/>
              <w:left w:w="60" w:type="dxa"/>
              <w:bottom w:w="120" w:type="dxa"/>
              <w:right w:w="180" w:type="dxa"/>
            </w:tcMar>
          </w:tcPr>
          <w:p w14:paraId="0794BE2F" w14:textId="77777777" w:rsidR="006462FB" w:rsidRDefault="00314B85">
            <w:pPr>
              <w:spacing w:after="0"/>
              <w:rPr>
                <w:rFonts w:hint="eastAsia"/>
              </w:rPr>
            </w:pPr>
            <w:r>
              <w:rPr>
                <w:sz w:val="19"/>
              </w:rPr>
              <w:t>$7.3B today. $57B to $199B by 2031 to 2034. 44% CAGR. Enterprise segment alone grows from $2.6B to $24.5B by 2030.</w:t>
            </w:r>
          </w:p>
        </w:tc>
      </w:tr>
    </w:tbl>
    <w:p w14:paraId="6837885F"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462FB" w14:paraId="5A4CDFAD"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357796EE" w14:textId="77777777" w:rsidR="006462FB" w:rsidRDefault="00314B85">
            <w:pPr>
              <w:spacing w:after="0"/>
              <w:rPr>
                <w:rFonts w:hint="eastAsia"/>
              </w:rPr>
            </w:pPr>
            <w:r>
              <w:rPr>
                <w:b/>
                <w:color w:val="4FC3DC"/>
                <w:spacing w:val="50"/>
                <w:sz w:val="18"/>
              </w:rPr>
              <w:t>AI SKILLS SHORTAGE</w:t>
            </w:r>
          </w:p>
        </w:tc>
        <w:tc>
          <w:tcPr>
            <w:tcW w:w="7776" w:type="dxa"/>
            <w:tcBorders>
              <w:top w:val="nil"/>
              <w:left w:val="nil"/>
              <w:bottom w:val="nil"/>
              <w:right w:val="nil"/>
            </w:tcBorders>
            <w:shd w:val="clear" w:color="auto" w:fill="1F2D4A"/>
            <w:tcMar>
              <w:top w:w="120" w:type="dxa"/>
              <w:left w:w="60" w:type="dxa"/>
              <w:bottom w:w="120" w:type="dxa"/>
              <w:right w:w="180" w:type="dxa"/>
            </w:tcMar>
          </w:tcPr>
          <w:p w14:paraId="47E5E9F3" w14:textId="77777777" w:rsidR="006462FB" w:rsidRDefault="00314B85">
            <w:pPr>
              <w:spacing w:after="0"/>
              <w:rPr>
                <w:rFonts w:hint="eastAsia"/>
              </w:rPr>
            </w:pPr>
            <w:r>
              <w:rPr>
                <w:sz w:val="19"/>
              </w:rPr>
              <w:t>Over 90% of global enterprises face critical AI skills shortages by 2026. Companies cannot hire fast enough. Ruptiv removes that dependency entirely.</w:t>
            </w:r>
          </w:p>
        </w:tc>
      </w:tr>
    </w:tbl>
    <w:p w14:paraId="522DC5DD"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2"/>
        <w:gridCol w:w="7748"/>
      </w:tblGrid>
      <w:tr w:rsidR="006462FB" w14:paraId="0A7FB1B3"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410C9D35" w14:textId="77777777" w:rsidR="006462FB" w:rsidRDefault="00314B85">
            <w:pPr>
              <w:spacing w:after="0"/>
              <w:rPr>
                <w:rFonts w:hint="eastAsia"/>
              </w:rPr>
            </w:pPr>
            <w:r>
              <w:rPr>
                <w:b/>
                <w:color w:val="4FC3DC"/>
                <w:spacing w:val="50"/>
                <w:sz w:val="18"/>
              </w:rPr>
              <w:t>PILOT-TO-PRODUCTION GAP</w:t>
            </w:r>
          </w:p>
        </w:tc>
        <w:tc>
          <w:tcPr>
            <w:tcW w:w="7776" w:type="dxa"/>
            <w:tcBorders>
              <w:top w:val="nil"/>
              <w:left w:val="nil"/>
              <w:bottom w:val="nil"/>
              <w:right w:val="nil"/>
            </w:tcBorders>
            <w:shd w:val="clear" w:color="auto" w:fill="1F2D4A"/>
            <w:tcMar>
              <w:top w:w="120" w:type="dxa"/>
              <w:left w:w="60" w:type="dxa"/>
              <w:bottom w:w="120" w:type="dxa"/>
              <w:right w:w="180" w:type="dxa"/>
            </w:tcMar>
          </w:tcPr>
          <w:p w14:paraId="1BF7BFA4" w14:textId="77777777" w:rsidR="006462FB" w:rsidRDefault="00314B85">
            <w:pPr>
              <w:spacing w:after="0"/>
              <w:rPr>
                <w:rFonts w:hint="eastAsia"/>
              </w:rPr>
            </w:pPr>
            <w:r>
              <w:rPr>
                <w:sz w:val="19"/>
              </w:rPr>
              <w:t>Only 26% of organizations have the capability to move AI from proof-of-concept to production. Two-thirds are stuck. Ruptiv exists for exactly this moment.</w:t>
            </w:r>
          </w:p>
        </w:tc>
      </w:tr>
    </w:tbl>
    <w:p w14:paraId="5FD0DF91"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462FB" w14:paraId="4CCF95EA"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6B1D98B6" w14:textId="77777777" w:rsidR="006462FB" w:rsidRDefault="00314B85">
            <w:pPr>
              <w:spacing w:after="0"/>
              <w:rPr>
                <w:rFonts w:hint="eastAsia"/>
              </w:rPr>
            </w:pPr>
            <w:r>
              <w:rPr>
                <w:b/>
                <w:color w:val="4FC3DC"/>
                <w:spacing w:val="50"/>
                <w:sz w:val="18"/>
              </w:rPr>
              <w:t>WORKFLOW REDESIGN PREMIUM</w:t>
            </w:r>
          </w:p>
        </w:tc>
        <w:tc>
          <w:tcPr>
            <w:tcW w:w="7776" w:type="dxa"/>
            <w:tcBorders>
              <w:top w:val="nil"/>
              <w:left w:val="nil"/>
              <w:bottom w:val="nil"/>
              <w:right w:val="nil"/>
            </w:tcBorders>
            <w:shd w:val="clear" w:color="auto" w:fill="1F2D4A"/>
            <w:tcMar>
              <w:top w:w="120" w:type="dxa"/>
              <w:left w:w="60" w:type="dxa"/>
              <w:bottom w:w="120" w:type="dxa"/>
              <w:right w:w="180" w:type="dxa"/>
            </w:tcMar>
          </w:tcPr>
          <w:p w14:paraId="6978728E" w14:textId="77777777" w:rsidR="006462FB" w:rsidRDefault="00314B85">
            <w:pPr>
              <w:spacing w:after="0"/>
              <w:rPr>
                <w:rFonts w:hint="eastAsia"/>
              </w:rPr>
            </w:pPr>
            <w:r>
              <w:rPr>
                <w:sz w:val="19"/>
              </w:rPr>
              <w:t>Companies with strong data integration and workflow redesign achieve 10.3x ROI versus 3.7x for those without it. The execution gap is nearly threefold.</w:t>
            </w:r>
          </w:p>
        </w:tc>
      </w:tr>
    </w:tbl>
    <w:p w14:paraId="52B7142A"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462FB" w14:paraId="52F3C558"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548D6726" w14:textId="77777777" w:rsidR="006462FB" w:rsidRDefault="00314B85">
            <w:pPr>
              <w:spacing w:after="0"/>
              <w:rPr>
                <w:rFonts w:hint="eastAsia"/>
              </w:rPr>
            </w:pPr>
            <w:r>
              <w:rPr>
                <w:b/>
                <w:color w:val="4FC3DC"/>
                <w:spacing w:val="50"/>
                <w:sz w:val="18"/>
              </w:rPr>
              <w:t>OUTCOME PRICING SHIFT</w:t>
            </w:r>
          </w:p>
        </w:tc>
        <w:tc>
          <w:tcPr>
            <w:tcW w:w="7776" w:type="dxa"/>
            <w:tcBorders>
              <w:top w:val="nil"/>
              <w:left w:val="nil"/>
              <w:bottom w:val="nil"/>
              <w:right w:val="nil"/>
            </w:tcBorders>
            <w:shd w:val="clear" w:color="auto" w:fill="1F2D4A"/>
            <w:tcMar>
              <w:top w:w="120" w:type="dxa"/>
              <w:left w:w="60" w:type="dxa"/>
              <w:bottom w:w="120" w:type="dxa"/>
              <w:right w:w="180" w:type="dxa"/>
            </w:tcMar>
          </w:tcPr>
          <w:p w14:paraId="4FBAF91E" w14:textId="77777777" w:rsidR="006462FB" w:rsidRDefault="00314B85">
            <w:pPr>
              <w:spacing w:after="0"/>
              <w:rPr>
                <w:rFonts w:hint="eastAsia"/>
              </w:rPr>
            </w:pPr>
            <w:r>
              <w:rPr>
                <w:sz w:val="19"/>
              </w:rPr>
              <w:t>Gartner forecasts that by 2030, at least 40% of enterprise SaaS spend will shift toward usage, agent, or outcome-based pricing.</w:t>
            </w:r>
          </w:p>
        </w:tc>
      </w:tr>
    </w:tbl>
    <w:p w14:paraId="6CE6ABD0" w14:textId="77777777" w:rsidR="006462FB" w:rsidRDefault="006462FB">
      <w:pPr>
        <w:spacing w:after="40"/>
        <w:rPr>
          <w:rFonts w:hint="eastAsia"/>
        </w:rPr>
      </w:pPr>
    </w:p>
    <w:p w14:paraId="685A4B83"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49275D59" w14:textId="77777777">
        <w:tc>
          <w:tcPr>
            <w:tcW w:w="8640" w:type="dxa"/>
            <w:tcBorders>
              <w:top w:val="nil"/>
              <w:left w:val="nil"/>
              <w:bottom w:val="nil"/>
              <w:right w:val="nil"/>
            </w:tcBorders>
            <w:tcMar>
              <w:top w:w="0" w:type="dxa"/>
              <w:left w:w="0" w:type="dxa"/>
              <w:bottom w:w="40" w:type="dxa"/>
              <w:right w:w="0" w:type="dxa"/>
            </w:tcMar>
          </w:tcPr>
          <w:p w14:paraId="6B0FD1A8" w14:textId="77777777" w:rsidR="006462FB" w:rsidRDefault="00314B85">
            <w:pPr>
              <w:spacing w:after="0"/>
              <w:rPr>
                <w:rFonts w:hint="eastAsia"/>
              </w:rPr>
            </w:pPr>
            <w:r>
              <w:rPr>
                <w:b/>
                <w:color w:val="888780"/>
                <w:spacing w:val="60"/>
                <w:sz w:val="18"/>
              </w:rPr>
              <w:lastRenderedPageBreak/>
              <w:t>09 / THE POSITION</w:t>
            </w:r>
          </w:p>
        </w:tc>
        <w:tc>
          <w:tcPr>
            <w:tcW w:w="1440" w:type="dxa"/>
            <w:tcBorders>
              <w:top w:val="nil"/>
              <w:left w:val="nil"/>
              <w:bottom w:val="nil"/>
              <w:right w:val="nil"/>
            </w:tcBorders>
            <w:tcMar>
              <w:top w:w="0" w:type="dxa"/>
              <w:left w:w="0" w:type="dxa"/>
              <w:bottom w:w="40" w:type="dxa"/>
              <w:right w:w="0" w:type="dxa"/>
            </w:tcMar>
          </w:tcPr>
          <w:p w14:paraId="58EAF78A" w14:textId="77777777" w:rsidR="006462FB" w:rsidRDefault="00314B85">
            <w:pPr>
              <w:spacing w:after="0"/>
              <w:jc w:val="right"/>
              <w:rPr>
                <w:rFonts w:hint="eastAsia"/>
              </w:rPr>
            </w:pPr>
            <w:r>
              <w:rPr>
                <w:color w:val="888780"/>
                <w:sz w:val="18"/>
              </w:rPr>
              <w:t>10</w:t>
            </w:r>
          </w:p>
        </w:tc>
      </w:tr>
    </w:tbl>
    <w:p w14:paraId="0634EE9C" w14:textId="77777777" w:rsidR="006462FB" w:rsidRDefault="00314B85">
      <w:pPr>
        <w:pBdr>
          <w:bottom w:val="single" w:sz="4" w:space="1" w:color="1F2D4A"/>
        </w:pBdr>
        <w:spacing w:after="240"/>
        <w:rPr>
          <w:rFonts w:hint="eastAsia"/>
        </w:rPr>
      </w:pPr>
      <w:r>
        <w:t xml:space="preserve"> </w:t>
      </w:r>
    </w:p>
    <w:p w14:paraId="37B290E4" w14:textId="77777777" w:rsidR="006462FB" w:rsidRDefault="00314B85">
      <w:pPr>
        <w:rPr>
          <w:rFonts w:hint="eastAsia"/>
        </w:rPr>
      </w:pPr>
      <w:r>
        <w:rPr>
          <w:b/>
          <w:color w:val="4FC3DC"/>
          <w:spacing w:val="60"/>
          <w:sz w:val="18"/>
        </w:rPr>
        <w:t>SECTION 09</w:t>
      </w:r>
    </w:p>
    <w:p w14:paraId="586D59D6" w14:textId="77777777" w:rsidR="006462FB" w:rsidRDefault="00314B85">
      <w:pPr>
        <w:spacing w:after="120"/>
        <w:rPr>
          <w:rFonts w:hint="eastAsia"/>
        </w:rPr>
      </w:pPr>
      <w:r>
        <w:rPr>
          <w:sz w:val="48"/>
        </w:rPr>
        <w:t>The position.</w:t>
      </w:r>
    </w:p>
    <w:p w14:paraId="761C4CDE" w14:textId="77777777" w:rsidR="006462FB" w:rsidRDefault="00314B85">
      <w:pPr>
        <w:spacing w:after="200"/>
        <w:rPr>
          <w:rFonts w:hint="eastAsia"/>
        </w:rPr>
      </w:pPr>
      <w:r>
        <w:rPr>
          <w:i/>
          <w:sz w:val="22"/>
        </w:rPr>
        <w:t>No major player currently offers all of the following at the same time.</w:t>
      </w:r>
    </w:p>
    <w:p w14:paraId="36BDD098" w14:textId="77777777" w:rsidR="006462FB" w:rsidRDefault="00314B85">
      <w:pPr>
        <w:pBdr>
          <w:bottom w:val="single" w:sz="18" w:space="1" w:color="F2C94C"/>
        </w:pBdr>
        <w:spacing w:before="40" w:after="200"/>
        <w:ind w:right="5800"/>
        <w:rPr>
          <w:rFonts w:hint="eastAsia"/>
        </w:rPr>
      </w:pPr>
      <w:r>
        <w:t xml:space="preserve"> </w:t>
      </w:r>
    </w:p>
    <w:p w14:paraId="2AF81915" w14:textId="77777777" w:rsidR="006462FB" w:rsidRDefault="00314B85">
      <w:pPr>
        <w:rPr>
          <w:rFonts w:hint="eastAsia"/>
        </w:rPr>
      </w:pPr>
      <w:r>
        <w:rPr>
          <w:b/>
          <w:color w:val="F2C94C"/>
        </w:rPr>
        <w:t xml:space="preserve">→  </w:t>
      </w:r>
      <w:r>
        <w:t>Domain expertise with direct access to enterprise workflow data</w:t>
      </w:r>
    </w:p>
    <w:p w14:paraId="0AE70782" w14:textId="77777777" w:rsidR="006462FB" w:rsidRDefault="00314B85">
      <w:pPr>
        <w:rPr>
          <w:rFonts w:hint="eastAsia"/>
        </w:rPr>
      </w:pPr>
      <w:r>
        <w:rPr>
          <w:b/>
          <w:color w:val="F2C94C"/>
        </w:rPr>
        <w:t xml:space="preserve">→  </w:t>
      </w:r>
      <w:r>
        <w:t>A cross-functional squad with real AI engineering depth</w:t>
      </w:r>
    </w:p>
    <w:p w14:paraId="5C17C7A3" w14:textId="77777777" w:rsidR="006462FB" w:rsidRDefault="00314B85">
      <w:pPr>
        <w:rPr>
          <w:rFonts w:hint="eastAsia"/>
        </w:rPr>
      </w:pPr>
      <w:r>
        <w:rPr>
          <w:b/>
          <w:color w:val="F2C94C"/>
        </w:rPr>
        <w:t xml:space="preserve">→  </w:t>
      </w:r>
      <w:r>
        <w:t>A proprietary platform built for workflow transformation</w:t>
      </w:r>
    </w:p>
    <w:p w14:paraId="1752A803" w14:textId="77777777" w:rsidR="006462FB" w:rsidRDefault="00314B85">
      <w:pPr>
        <w:rPr>
          <w:rFonts w:hint="eastAsia"/>
        </w:rPr>
      </w:pPr>
      <w:r>
        <w:rPr>
          <w:b/>
          <w:color w:val="F2C94C"/>
        </w:rPr>
        <w:t xml:space="preserve">→  </w:t>
      </w:r>
      <w:r>
        <w:t>Outcome-based commercial model: Ruptiv invoices when the cost line moves</w:t>
      </w:r>
    </w:p>
    <w:p w14:paraId="59042EDD" w14:textId="77777777" w:rsidR="006462FB" w:rsidRDefault="00314B85">
      <w:pPr>
        <w:spacing w:after="160"/>
        <w:rPr>
          <w:rFonts w:hint="eastAsia"/>
        </w:rPr>
      </w:pPr>
      <w:r>
        <w:t>Each of these alone is replicable. All four together, with a commercial model that puts skin in the game, is the moat.</w:t>
      </w:r>
    </w:p>
    <w:p w14:paraId="1086C1D5" w14:textId="77777777" w:rsidR="006462FB" w:rsidRDefault="00314B85">
      <w:pPr>
        <w:spacing w:after="240"/>
        <w:rPr>
          <w:rFonts w:hint="eastAsia"/>
        </w:rPr>
      </w:pPr>
      <w:r>
        <w:t>MIT's NANDA Initiative found that purchasing AI from specialized vendors succeeds roughly 67% of the time, versus 33% for internal builds. Clients who engage Ruptiv are twice as likely to see results as those who try to build it themselves.</w:t>
      </w: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462FB" w14:paraId="489E078D"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1CC6D149" w14:textId="77777777" w:rsidR="006462FB" w:rsidRDefault="00314B85">
            <w:pPr>
              <w:spacing w:after="0"/>
              <w:rPr>
                <w:rFonts w:hint="eastAsia"/>
              </w:rPr>
            </w:pPr>
            <w:r>
              <w:rPr>
                <w:b/>
                <w:color w:val="4FC3DC"/>
                <w:spacing w:val="50"/>
                <w:sz w:val="18"/>
              </w:rPr>
              <w:t>CATEGORY</w:t>
            </w:r>
          </w:p>
        </w:tc>
        <w:tc>
          <w:tcPr>
            <w:tcW w:w="7776" w:type="dxa"/>
            <w:tcBorders>
              <w:top w:val="nil"/>
              <w:left w:val="nil"/>
              <w:bottom w:val="nil"/>
              <w:right w:val="nil"/>
            </w:tcBorders>
            <w:shd w:val="clear" w:color="auto" w:fill="1F2D4A"/>
            <w:tcMar>
              <w:top w:w="120" w:type="dxa"/>
              <w:left w:w="60" w:type="dxa"/>
              <w:bottom w:w="120" w:type="dxa"/>
              <w:right w:w="180" w:type="dxa"/>
            </w:tcMar>
          </w:tcPr>
          <w:p w14:paraId="1257AD3F" w14:textId="77777777" w:rsidR="006462FB" w:rsidRDefault="00314B85">
            <w:pPr>
              <w:spacing w:after="0"/>
              <w:rPr>
                <w:rFonts w:hint="eastAsia"/>
              </w:rPr>
            </w:pPr>
            <w:r>
              <w:rPr>
                <w:sz w:val="19"/>
              </w:rPr>
              <w:t>End-to-End Workflow Disruptor. The highest-capability position in McKinsey's four-part agentic AI framework.</w:t>
            </w:r>
          </w:p>
        </w:tc>
      </w:tr>
    </w:tbl>
    <w:p w14:paraId="719498DE"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11D5DCC1"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6CB96505" w14:textId="77777777" w:rsidR="006462FB" w:rsidRDefault="00314B85">
            <w:pPr>
              <w:spacing w:after="0"/>
              <w:rPr>
                <w:rFonts w:hint="eastAsia"/>
              </w:rPr>
            </w:pPr>
            <w:r>
              <w:rPr>
                <w:b/>
                <w:color w:val="4FC3DC"/>
                <w:spacing w:val="50"/>
                <w:sz w:val="18"/>
              </w:rPr>
              <w:t>PRIMARY BUYER PAIN</w:t>
            </w:r>
          </w:p>
        </w:tc>
        <w:tc>
          <w:tcPr>
            <w:tcW w:w="7776" w:type="dxa"/>
            <w:tcBorders>
              <w:top w:val="nil"/>
              <w:left w:val="nil"/>
              <w:bottom w:val="nil"/>
              <w:right w:val="nil"/>
            </w:tcBorders>
            <w:shd w:val="clear" w:color="auto" w:fill="1F2D4A"/>
            <w:tcMar>
              <w:top w:w="120" w:type="dxa"/>
              <w:left w:w="60" w:type="dxa"/>
              <w:bottom w:w="120" w:type="dxa"/>
              <w:right w:w="180" w:type="dxa"/>
            </w:tcMar>
          </w:tcPr>
          <w:p w14:paraId="1F657212" w14:textId="77777777" w:rsidR="006462FB" w:rsidRDefault="00314B85">
            <w:pPr>
              <w:spacing w:after="0"/>
              <w:rPr>
                <w:rFonts w:hint="eastAsia"/>
              </w:rPr>
            </w:pPr>
            <w:r>
              <w:rPr>
                <w:sz w:val="19"/>
              </w:rPr>
              <w:t>$7.2M lost per failed AI initiative on average. Boards want measurable ROI within 12 months.</w:t>
            </w:r>
          </w:p>
        </w:tc>
      </w:tr>
    </w:tbl>
    <w:p w14:paraId="5482A523"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299"/>
        <w:gridCol w:w="7751"/>
      </w:tblGrid>
      <w:tr w:rsidR="006462FB" w14:paraId="7FE3C2B0"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3306256E" w14:textId="77777777" w:rsidR="006462FB" w:rsidRDefault="00314B85">
            <w:pPr>
              <w:spacing w:after="0"/>
              <w:rPr>
                <w:rFonts w:hint="eastAsia"/>
              </w:rPr>
            </w:pPr>
            <w:r>
              <w:rPr>
                <w:b/>
                <w:color w:val="4FC3DC"/>
                <w:spacing w:val="50"/>
                <w:sz w:val="18"/>
              </w:rPr>
              <w:t>THE MOAT</w:t>
            </w:r>
          </w:p>
        </w:tc>
        <w:tc>
          <w:tcPr>
            <w:tcW w:w="7776" w:type="dxa"/>
            <w:tcBorders>
              <w:top w:val="nil"/>
              <w:left w:val="nil"/>
              <w:bottom w:val="nil"/>
              <w:right w:val="nil"/>
            </w:tcBorders>
            <w:shd w:val="clear" w:color="auto" w:fill="1F2D4A"/>
            <w:tcMar>
              <w:top w:w="120" w:type="dxa"/>
              <w:left w:w="60" w:type="dxa"/>
              <w:bottom w:w="120" w:type="dxa"/>
              <w:right w:w="180" w:type="dxa"/>
            </w:tcMar>
          </w:tcPr>
          <w:p w14:paraId="0DD6AE27" w14:textId="77777777" w:rsidR="006462FB" w:rsidRDefault="00314B85">
            <w:pPr>
              <w:spacing w:after="0"/>
              <w:rPr>
                <w:rFonts w:hint="eastAsia"/>
              </w:rPr>
            </w:pPr>
            <w:r>
              <w:rPr>
                <w:sz w:val="19"/>
              </w:rPr>
              <w:t>Outcome-based pricing means Ruptiv self-selects for clients serious about results. The Patterns library, the Studios, and the Sparring Partner roster compound.</w:t>
            </w:r>
          </w:p>
        </w:tc>
      </w:tr>
    </w:tbl>
    <w:p w14:paraId="5FB0E6CD"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081A9093"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209332E5" w14:textId="77777777" w:rsidR="006462FB" w:rsidRDefault="00314B85">
            <w:pPr>
              <w:spacing w:after="0"/>
              <w:rPr>
                <w:rFonts w:hint="eastAsia"/>
              </w:rPr>
            </w:pPr>
            <w:r>
              <w:rPr>
                <w:b/>
                <w:color w:val="4FC3DC"/>
                <w:spacing w:val="50"/>
                <w:sz w:val="18"/>
              </w:rPr>
              <w:t>ICP TRIGGER</w:t>
            </w:r>
          </w:p>
        </w:tc>
        <w:tc>
          <w:tcPr>
            <w:tcW w:w="7776" w:type="dxa"/>
            <w:tcBorders>
              <w:top w:val="nil"/>
              <w:left w:val="nil"/>
              <w:bottom w:val="nil"/>
              <w:right w:val="nil"/>
            </w:tcBorders>
            <w:shd w:val="clear" w:color="auto" w:fill="1F2D4A"/>
            <w:tcMar>
              <w:top w:w="120" w:type="dxa"/>
              <w:left w:w="60" w:type="dxa"/>
              <w:bottom w:w="120" w:type="dxa"/>
              <w:right w:w="180" w:type="dxa"/>
            </w:tcMar>
          </w:tcPr>
          <w:p w14:paraId="4A144EA9" w14:textId="77777777" w:rsidR="006462FB" w:rsidRDefault="00314B85">
            <w:pPr>
              <w:spacing w:after="0"/>
              <w:rPr>
                <w:rFonts w:hint="eastAsia"/>
              </w:rPr>
            </w:pPr>
            <w:r>
              <w:rPr>
                <w:sz w:val="19"/>
              </w:rPr>
              <w:t>Post-failed pilot. Post-board AI mandate. After paying a consultant who left without results.</w:t>
            </w:r>
          </w:p>
        </w:tc>
      </w:tr>
    </w:tbl>
    <w:p w14:paraId="7E290F72"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2"/>
        <w:gridCol w:w="7748"/>
      </w:tblGrid>
      <w:tr w:rsidR="006462FB" w14:paraId="2A1F363C"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08428386" w14:textId="77777777" w:rsidR="006462FB" w:rsidRDefault="00314B85">
            <w:pPr>
              <w:spacing w:after="0"/>
              <w:rPr>
                <w:rFonts w:hint="eastAsia"/>
              </w:rPr>
            </w:pPr>
            <w:r>
              <w:rPr>
                <w:b/>
                <w:color w:val="4FC3DC"/>
                <w:spacing w:val="50"/>
                <w:sz w:val="18"/>
              </w:rPr>
              <w:t>COMMERCIAL MODEL</w:t>
            </w:r>
          </w:p>
        </w:tc>
        <w:tc>
          <w:tcPr>
            <w:tcW w:w="7776" w:type="dxa"/>
            <w:tcBorders>
              <w:top w:val="nil"/>
              <w:left w:val="nil"/>
              <w:bottom w:val="nil"/>
              <w:right w:val="nil"/>
            </w:tcBorders>
            <w:shd w:val="clear" w:color="auto" w:fill="1F2D4A"/>
            <w:tcMar>
              <w:top w:w="120" w:type="dxa"/>
              <w:left w:w="60" w:type="dxa"/>
              <w:bottom w:w="120" w:type="dxa"/>
              <w:right w:w="180" w:type="dxa"/>
            </w:tcMar>
          </w:tcPr>
          <w:p w14:paraId="7ABC6FF0" w14:textId="77777777" w:rsidR="006462FB" w:rsidRDefault="00314B85">
            <w:pPr>
              <w:spacing w:after="0"/>
              <w:rPr>
                <w:rFonts w:hint="eastAsia"/>
              </w:rPr>
            </w:pPr>
            <w:r>
              <w:rPr>
                <w:sz w:val="19"/>
              </w:rPr>
              <w:t>Diagnostic Engagement that converts to credit. Disruption Engagement priced as proxy for documented savings. Operating Engagement subscription.</w:t>
            </w:r>
          </w:p>
        </w:tc>
      </w:tr>
    </w:tbl>
    <w:p w14:paraId="0A7072F1" w14:textId="77777777" w:rsidR="006462FB" w:rsidRDefault="006462FB">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462FB" w14:paraId="08E4987D"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16F6448C" w14:textId="77777777" w:rsidR="006462FB" w:rsidRDefault="00314B85">
            <w:pPr>
              <w:spacing w:after="0"/>
              <w:rPr>
                <w:rFonts w:hint="eastAsia"/>
              </w:rPr>
            </w:pPr>
            <w:r>
              <w:rPr>
                <w:b/>
                <w:color w:val="4FC3DC"/>
                <w:spacing w:val="50"/>
                <w:sz w:val="18"/>
              </w:rPr>
              <w:t>5-YEAR DEFENSE</w:t>
            </w:r>
          </w:p>
        </w:tc>
        <w:tc>
          <w:tcPr>
            <w:tcW w:w="7776" w:type="dxa"/>
            <w:tcBorders>
              <w:top w:val="nil"/>
              <w:left w:val="nil"/>
              <w:bottom w:val="nil"/>
              <w:right w:val="nil"/>
            </w:tcBorders>
            <w:shd w:val="clear" w:color="auto" w:fill="1F2D4A"/>
            <w:tcMar>
              <w:top w:w="120" w:type="dxa"/>
              <w:left w:w="60" w:type="dxa"/>
              <w:bottom w:w="120" w:type="dxa"/>
              <w:right w:w="180" w:type="dxa"/>
            </w:tcMar>
          </w:tcPr>
          <w:p w14:paraId="00B05CCB" w14:textId="77777777" w:rsidR="006462FB" w:rsidRDefault="00314B85">
            <w:pPr>
              <w:spacing w:after="0"/>
              <w:rPr>
                <w:rFonts w:hint="eastAsia"/>
              </w:rPr>
            </w:pPr>
            <w:r>
              <w:rPr>
                <w:sz w:val="19"/>
              </w:rPr>
              <w:t>Workflow transformation Patterns, Sparring Partner library, outcome data, and squad methodology built across real enterprise engagements.</w:t>
            </w:r>
          </w:p>
        </w:tc>
      </w:tr>
    </w:tbl>
    <w:p w14:paraId="44BAA47D" w14:textId="77777777" w:rsidR="006462FB" w:rsidRDefault="006462FB">
      <w:pPr>
        <w:spacing w:after="40"/>
        <w:rPr>
          <w:rFonts w:hint="eastAsia"/>
        </w:rPr>
      </w:pPr>
    </w:p>
    <w:p w14:paraId="474533C7"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1ABFD965" w14:textId="77777777">
        <w:tc>
          <w:tcPr>
            <w:tcW w:w="8640" w:type="dxa"/>
            <w:tcBorders>
              <w:top w:val="nil"/>
              <w:left w:val="nil"/>
              <w:bottom w:val="nil"/>
              <w:right w:val="nil"/>
            </w:tcBorders>
            <w:tcMar>
              <w:top w:w="0" w:type="dxa"/>
              <w:left w:w="0" w:type="dxa"/>
              <w:bottom w:w="40" w:type="dxa"/>
              <w:right w:w="0" w:type="dxa"/>
            </w:tcMar>
          </w:tcPr>
          <w:p w14:paraId="44E02BB7" w14:textId="77777777" w:rsidR="006462FB" w:rsidRDefault="00314B85">
            <w:pPr>
              <w:spacing w:after="0"/>
              <w:rPr>
                <w:rFonts w:hint="eastAsia"/>
              </w:rPr>
            </w:pPr>
            <w:r>
              <w:rPr>
                <w:b/>
                <w:color w:val="888780"/>
                <w:spacing w:val="60"/>
                <w:sz w:val="18"/>
              </w:rPr>
              <w:lastRenderedPageBreak/>
              <w:t>10 / WHAT RUPTIV HAS TO BUILD</w:t>
            </w:r>
          </w:p>
        </w:tc>
        <w:tc>
          <w:tcPr>
            <w:tcW w:w="1440" w:type="dxa"/>
            <w:tcBorders>
              <w:top w:val="nil"/>
              <w:left w:val="nil"/>
              <w:bottom w:val="nil"/>
              <w:right w:val="nil"/>
            </w:tcBorders>
            <w:tcMar>
              <w:top w:w="0" w:type="dxa"/>
              <w:left w:w="0" w:type="dxa"/>
              <w:bottom w:w="40" w:type="dxa"/>
              <w:right w:w="0" w:type="dxa"/>
            </w:tcMar>
          </w:tcPr>
          <w:p w14:paraId="66F9DDD3" w14:textId="77777777" w:rsidR="006462FB" w:rsidRDefault="00314B85">
            <w:pPr>
              <w:spacing w:after="0"/>
              <w:jc w:val="right"/>
              <w:rPr>
                <w:rFonts w:hint="eastAsia"/>
              </w:rPr>
            </w:pPr>
            <w:r>
              <w:rPr>
                <w:color w:val="888780"/>
                <w:sz w:val="18"/>
              </w:rPr>
              <w:t>11</w:t>
            </w:r>
          </w:p>
        </w:tc>
      </w:tr>
    </w:tbl>
    <w:p w14:paraId="4D03C731" w14:textId="77777777" w:rsidR="006462FB" w:rsidRDefault="00314B85">
      <w:pPr>
        <w:pBdr>
          <w:bottom w:val="single" w:sz="4" w:space="1" w:color="1F2D4A"/>
        </w:pBdr>
        <w:spacing w:after="240"/>
        <w:rPr>
          <w:rFonts w:hint="eastAsia"/>
        </w:rPr>
      </w:pPr>
      <w:r>
        <w:t xml:space="preserve"> </w:t>
      </w:r>
    </w:p>
    <w:p w14:paraId="24FD71ED" w14:textId="77777777" w:rsidR="006462FB" w:rsidRDefault="00314B85">
      <w:pPr>
        <w:rPr>
          <w:rFonts w:hint="eastAsia"/>
        </w:rPr>
      </w:pPr>
      <w:r>
        <w:rPr>
          <w:b/>
          <w:color w:val="4FC3DC"/>
          <w:spacing w:val="60"/>
          <w:sz w:val="18"/>
        </w:rPr>
        <w:t>SECTION 10</w:t>
      </w:r>
    </w:p>
    <w:p w14:paraId="2A0863BF" w14:textId="77777777" w:rsidR="006462FB" w:rsidRDefault="00314B85">
      <w:pPr>
        <w:spacing w:after="120"/>
        <w:rPr>
          <w:rFonts w:hint="eastAsia"/>
        </w:rPr>
      </w:pPr>
      <w:r>
        <w:rPr>
          <w:sz w:val="40"/>
        </w:rPr>
        <w:t>What Ruptiv has to build and protect.</w:t>
      </w:r>
    </w:p>
    <w:p w14:paraId="1EE75747" w14:textId="77777777" w:rsidR="006462FB" w:rsidRDefault="00314B85">
      <w:pPr>
        <w:spacing w:after="200"/>
        <w:rPr>
          <w:rFonts w:hint="eastAsia"/>
        </w:rPr>
      </w:pPr>
      <w:r>
        <w:rPr>
          <w:i/>
          <w:sz w:val="21"/>
        </w:rPr>
        <w:t>McKinsey is clear: the End-to-End Workflow Disruptor position requires HIGH capability across all five dimensions. There are no shortcuts.</w:t>
      </w:r>
    </w:p>
    <w:p w14:paraId="2C0BFDCF" w14:textId="77777777" w:rsidR="006462FB" w:rsidRDefault="00314B85">
      <w:pPr>
        <w:pBdr>
          <w:bottom w:val="single" w:sz="18" w:space="1" w:color="F2C94C"/>
        </w:pBdr>
        <w:spacing w:before="40" w:after="200"/>
        <w:ind w:right="5800"/>
        <w:rPr>
          <w:rFonts w:hint="eastAsia"/>
        </w:rPr>
      </w:pPr>
      <w:r>
        <w:t xml:space="preserve"> </w:t>
      </w:r>
    </w:p>
    <w:p w14:paraId="6314BED2" w14:textId="77777777" w:rsidR="006462FB" w:rsidRDefault="00314B85">
      <w:pPr>
        <w:spacing w:before="160"/>
        <w:rPr>
          <w:rFonts w:hint="eastAsia"/>
        </w:rPr>
      </w:pPr>
      <w:r>
        <w:rPr>
          <w:b/>
          <w:color w:val="4FC3DC"/>
          <w:spacing w:val="60"/>
          <w:sz w:val="18"/>
        </w:rPr>
        <w:t>DOMAIN EXPERTISE AND ENTERPRISE DATA ACCESS</w:t>
      </w:r>
    </w:p>
    <w:p w14:paraId="2DE96937" w14:textId="77777777" w:rsidR="006462FB" w:rsidRDefault="00314B85">
      <w:pPr>
        <w:spacing w:after="60"/>
        <w:rPr>
          <w:rFonts w:hint="eastAsia"/>
        </w:rPr>
      </w:pPr>
      <w:r>
        <w:rPr>
          <w:b/>
          <w:color w:val="F2C94C"/>
        </w:rPr>
        <w:t xml:space="preserve">→  </w:t>
      </w:r>
      <w:r>
        <w:t>Deep Studios per vertical: Retail first, then Finance, Healthcare, Supply Chain</w:t>
      </w:r>
    </w:p>
    <w:p w14:paraId="6E761E2C" w14:textId="77777777" w:rsidR="006462FB" w:rsidRDefault="00314B85">
      <w:pPr>
        <w:spacing w:after="60"/>
        <w:rPr>
          <w:rFonts w:hint="eastAsia"/>
        </w:rPr>
      </w:pPr>
      <w:r>
        <w:rPr>
          <w:b/>
          <w:color w:val="F2C94C"/>
        </w:rPr>
        <w:t xml:space="preserve">→  </w:t>
      </w:r>
      <w:r>
        <w:t>Data partnership models that give Ruptiv direct access to how workflows actually run</w:t>
      </w:r>
    </w:p>
    <w:p w14:paraId="44706ADB" w14:textId="77777777" w:rsidR="006462FB" w:rsidRDefault="00314B85">
      <w:pPr>
        <w:spacing w:before="160"/>
        <w:rPr>
          <w:rFonts w:hint="eastAsia"/>
        </w:rPr>
      </w:pPr>
      <w:r>
        <w:rPr>
          <w:b/>
          <w:color w:val="4FC3DC"/>
          <w:spacing w:val="60"/>
          <w:sz w:val="18"/>
        </w:rPr>
        <w:t>DEEP PROCESS AND AI ENGINEERING</w:t>
      </w:r>
    </w:p>
    <w:p w14:paraId="27C02A8D" w14:textId="77777777" w:rsidR="006462FB" w:rsidRDefault="00314B85">
      <w:pPr>
        <w:spacing w:after="60"/>
        <w:rPr>
          <w:rFonts w:hint="eastAsia"/>
        </w:rPr>
      </w:pPr>
      <w:r>
        <w:rPr>
          <w:b/>
          <w:color w:val="F2C94C"/>
        </w:rPr>
        <w:t xml:space="preserve">→  </w:t>
      </w:r>
      <w:r>
        <w:t>Multi-agent orchestration and workflow redesign, not task automation bolted onto old processes</w:t>
      </w:r>
    </w:p>
    <w:p w14:paraId="122D38A5" w14:textId="77777777" w:rsidR="006462FB" w:rsidRDefault="00314B85">
      <w:pPr>
        <w:spacing w:after="60"/>
        <w:rPr>
          <w:rFonts w:hint="eastAsia"/>
        </w:rPr>
      </w:pPr>
      <w:r>
        <w:rPr>
          <w:b/>
          <w:color w:val="F2C94C"/>
        </w:rPr>
        <w:t xml:space="preserve">→  </w:t>
      </w:r>
      <w:r>
        <w:t>Sparring Partners built into reimagined workflows from the start</w:t>
      </w:r>
    </w:p>
    <w:p w14:paraId="6BE2C81D" w14:textId="77777777" w:rsidR="006462FB" w:rsidRDefault="00314B85">
      <w:pPr>
        <w:spacing w:before="160"/>
        <w:rPr>
          <w:rFonts w:hint="eastAsia"/>
        </w:rPr>
      </w:pPr>
      <w:r>
        <w:rPr>
          <w:b/>
          <w:color w:val="4FC3DC"/>
          <w:spacing w:val="60"/>
          <w:sz w:val="18"/>
        </w:rPr>
        <w:t>AGENTIC SERVICES STRENGTH AT SCALE</w:t>
      </w:r>
    </w:p>
    <w:p w14:paraId="7623E6E2" w14:textId="77777777" w:rsidR="006462FB" w:rsidRDefault="00314B85">
      <w:pPr>
        <w:spacing w:after="60"/>
        <w:rPr>
          <w:rFonts w:hint="eastAsia"/>
        </w:rPr>
      </w:pPr>
      <w:r>
        <w:rPr>
          <w:b/>
          <w:color w:val="F2C94C"/>
        </w:rPr>
        <w:t xml:space="preserve">→  </w:t>
      </w:r>
      <w:r>
        <w:t>Forge methodology that ships Sparring Partners in weeks, not months</w:t>
      </w:r>
    </w:p>
    <w:p w14:paraId="5A5D7119" w14:textId="77777777" w:rsidR="006462FB" w:rsidRDefault="00314B85">
      <w:pPr>
        <w:spacing w:after="60"/>
        <w:rPr>
          <w:rFonts w:hint="eastAsia"/>
        </w:rPr>
      </w:pPr>
      <w:r>
        <w:rPr>
          <w:b/>
          <w:color w:val="F2C94C"/>
        </w:rPr>
        <w:t xml:space="preserve">→  </w:t>
      </w:r>
      <w:r>
        <w:t>Focus on building and running multi-agents, not managing them after the fact</w:t>
      </w:r>
    </w:p>
    <w:p w14:paraId="4DC8B5CE" w14:textId="77777777" w:rsidR="006462FB" w:rsidRDefault="00314B85">
      <w:pPr>
        <w:spacing w:before="160"/>
        <w:rPr>
          <w:rFonts w:hint="eastAsia"/>
        </w:rPr>
      </w:pPr>
      <w:r>
        <w:rPr>
          <w:b/>
          <w:color w:val="4FC3DC"/>
          <w:spacing w:val="60"/>
          <w:sz w:val="18"/>
        </w:rPr>
        <w:t>PROPRIETARY PLATFORM FOR WORKFLOW TRANSFORMATION</w:t>
      </w:r>
    </w:p>
    <w:p w14:paraId="27F384FE" w14:textId="77777777" w:rsidR="006462FB" w:rsidRDefault="00314B85">
      <w:pPr>
        <w:spacing w:after="60"/>
        <w:rPr>
          <w:rFonts w:hint="eastAsia"/>
        </w:rPr>
      </w:pPr>
      <w:r>
        <w:rPr>
          <w:b/>
          <w:color w:val="F2C94C"/>
        </w:rPr>
        <w:t xml:space="preserve">→  </w:t>
      </w:r>
      <w:r>
        <w:t>Atlas View as the integrated workflow and agent platform</w:t>
      </w:r>
    </w:p>
    <w:p w14:paraId="4441BFFE" w14:textId="77777777" w:rsidR="006462FB" w:rsidRDefault="00314B85">
      <w:pPr>
        <w:spacing w:after="60"/>
        <w:rPr>
          <w:rFonts w:hint="eastAsia"/>
        </w:rPr>
      </w:pPr>
      <w:r>
        <w:rPr>
          <w:b/>
          <w:color w:val="F2C94C"/>
        </w:rPr>
        <w:t xml:space="preserve">→  </w:t>
      </w:r>
      <w:r>
        <w:t>Listening Systems that enable continuous operation after Ruptiv leaves</w:t>
      </w:r>
    </w:p>
    <w:p w14:paraId="296F4433" w14:textId="77777777" w:rsidR="006462FB" w:rsidRDefault="00314B85">
      <w:pPr>
        <w:spacing w:before="160"/>
        <w:rPr>
          <w:rFonts w:hint="eastAsia"/>
        </w:rPr>
      </w:pPr>
      <w:r>
        <w:rPr>
          <w:b/>
          <w:color w:val="4FC3DC"/>
          <w:spacing w:val="60"/>
          <w:sz w:val="18"/>
        </w:rPr>
        <w:t>CROSS-FUNCTIONAL SQUADS AND CHANGE MANAGEMENT</w:t>
      </w:r>
    </w:p>
    <w:p w14:paraId="2C981299" w14:textId="77777777" w:rsidR="006462FB" w:rsidRDefault="00314B85">
      <w:pPr>
        <w:spacing w:after="60"/>
        <w:rPr>
          <w:rFonts w:hint="eastAsia"/>
        </w:rPr>
      </w:pPr>
      <w:r>
        <w:rPr>
          <w:b/>
          <w:color w:val="F2C94C"/>
        </w:rPr>
        <w:t xml:space="preserve">→  </w:t>
      </w:r>
      <w:r>
        <w:t>McKinsey: companies that redesign workflows before selecting tools are 2x more likely to see returns</w:t>
      </w:r>
    </w:p>
    <w:p w14:paraId="610E48A7" w14:textId="77777777" w:rsidR="006462FB" w:rsidRDefault="00314B85">
      <w:pPr>
        <w:spacing w:after="60"/>
        <w:rPr>
          <w:rFonts w:hint="eastAsia"/>
        </w:rPr>
      </w:pPr>
      <w:r>
        <w:rPr>
          <w:b/>
          <w:color w:val="F2C94C"/>
        </w:rPr>
        <w:t xml:space="preserve">→  </w:t>
      </w:r>
      <w:r>
        <w:t>Embedded squads working inside the client organization, not advising from outside it</w:t>
      </w:r>
    </w:p>
    <w:p w14:paraId="7C061D09" w14:textId="77777777" w:rsidR="006462FB" w:rsidRDefault="00314B85">
      <w:pPr>
        <w:spacing w:after="200"/>
        <w:rPr>
          <w:rFonts w:hint="eastAsia"/>
        </w:rPr>
      </w:pPr>
      <w:r>
        <w:t>74% of executives saw ROI from AI agent deployment within the first year when done this way. Only 6% of organizations using conventional deployment see payback inside 12 months.</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15348AFD"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1194D177" w14:textId="77777777" w:rsidR="006462FB" w:rsidRDefault="00314B85">
            <w:pPr>
              <w:spacing w:after="0"/>
              <w:rPr>
                <w:rFonts w:hint="eastAsia"/>
              </w:rPr>
            </w:pPr>
            <w:r>
              <w:rPr>
                <w:sz w:val="24"/>
              </w:rPr>
              <w:t>The methodology matters as much as the technology.</w:t>
            </w:r>
          </w:p>
        </w:tc>
      </w:tr>
    </w:tbl>
    <w:p w14:paraId="1BC4CDB3" w14:textId="77777777" w:rsidR="006462FB" w:rsidRDefault="006462FB">
      <w:pPr>
        <w:rPr>
          <w:rFonts w:hint="eastAsia"/>
        </w:rPr>
      </w:pPr>
    </w:p>
    <w:p w14:paraId="681411EF" w14:textId="77777777" w:rsidR="006462FB" w:rsidRDefault="00314B8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462FB" w14:paraId="4CD61300" w14:textId="77777777">
        <w:tc>
          <w:tcPr>
            <w:tcW w:w="8640" w:type="dxa"/>
            <w:tcBorders>
              <w:top w:val="nil"/>
              <w:left w:val="nil"/>
              <w:bottom w:val="nil"/>
              <w:right w:val="nil"/>
            </w:tcBorders>
            <w:tcMar>
              <w:top w:w="0" w:type="dxa"/>
              <w:left w:w="0" w:type="dxa"/>
              <w:bottom w:w="40" w:type="dxa"/>
              <w:right w:w="0" w:type="dxa"/>
            </w:tcMar>
          </w:tcPr>
          <w:p w14:paraId="6500E9B8" w14:textId="77777777" w:rsidR="006462FB" w:rsidRDefault="00314B85">
            <w:pPr>
              <w:spacing w:after="0"/>
              <w:rPr>
                <w:rFonts w:hint="eastAsia"/>
              </w:rPr>
            </w:pPr>
            <w:r>
              <w:rPr>
                <w:b/>
                <w:color w:val="888780"/>
                <w:spacing w:val="60"/>
                <w:sz w:val="18"/>
              </w:rPr>
              <w:lastRenderedPageBreak/>
              <w:t>11 / THE THESIS</w:t>
            </w:r>
          </w:p>
        </w:tc>
        <w:tc>
          <w:tcPr>
            <w:tcW w:w="1440" w:type="dxa"/>
            <w:tcBorders>
              <w:top w:val="nil"/>
              <w:left w:val="nil"/>
              <w:bottom w:val="nil"/>
              <w:right w:val="nil"/>
            </w:tcBorders>
            <w:tcMar>
              <w:top w:w="0" w:type="dxa"/>
              <w:left w:w="0" w:type="dxa"/>
              <w:bottom w:w="40" w:type="dxa"/>
              <w:right w:w="0" w:type="dxa"/>
            </w:tcMar>
          </w:tcPr>
          <w:p w14:paraId="6F132742" w14:textId="77777777" w:rsidR="006462FB" w:rsidRDefault="00314B85">
            <w:pPr>
              <w:spacing w:after="0"/>
              <w:jc w:val="right"/>
              <w:rPr>
                <w:rFonts w:hint="eastAsia"/>
              </w:rPr>
            </w:pPr>
            <w:r>
              <w:rPr>
                <w:color w:val="888780"/>
                <w:sz w:val="18"/>
              </w:rPr>
              <w:t>12</w:t>
            </w:r>
          </w:p>
        </w:tc>
      </w:tr>
    </w:tbl>
    <w:p w14:paraId="4BA3C2F0" w14:textId="77777777" w:rsidR="006462FB" w:rsidRDefault="00314B85">
      <w:pPr>
        <w:pBdr>
          <w:bottom w:val="single" w:sz="4" w:space="1" w:color="1F2D4A"/>
        </w:pBdr>
        <w:spacing w:after="240"/>
        <w:rPr>
          <w:rFonts w:hint="eastAsia"/>
        </w:rPr>
      </w:pPr>
      <w:r>
        <w:t xml:space="preserve"> </w:t>
      </w:r>
    </w:p>
    <w:p w14:paraId="647A4627" w14:textId="77777777" w:rsidR="006462FB" w:rsidRDefault="00314B85">
      <w:pPr>
        <w:rPr>
          <w:rFonts w:hint="eastAsia"/>
        </w:rPr>
      </w:pPr>
      <w:r>
        <w:rPr>
          <w:b/>
          <w:color w:val="4FC3DC"/>
          <w:spacing w:val="60"/>
          <w:sz w:val="18"/>
        </w:rPr>
        <w:t>SECTION 11</w:t>
      </w:r>
    </w:p>
    <w:p w14:paraId="41E2459F" w14:textId="77777777" w:rsidR="006462FB" w:rsidRDefault="00314B85">
      <w:pPr>
        <w:spacing w:after="120"/>
        <w:rPr>
          <w:rFonts w:hint="eastAsia"/>
        </w:rPr>
      </w:pPr>
      <w:r>
        <w:rPr>
          <w:sz w:val="48"/>
        </w:rPr>
        <w:t>The thesis.</w:t>
      </w:r>
    </w:p>
    <w:p w14:paraId="2095BD7B" w14:textId="77777777" w:rsidR="006462FB" w:rsidRDefault="00314B85">
      <w:pPr>
        <w:spacing w:after="200"/>
        <w:rPr>
          <w:rFonts w:hint="eastAsia"/>
        </w:rPr>
      </w:pPr>
      <w:r>
        <w:rPr>
          <w:i/>
          <w:sz w:val="22"/>
        </w:rPr>
        <w:t>Enterprise buyers today have two options: pay a consultant to tell them what to do, or buy software and work it out themselves.</w:t>
      </w:r>
    </w:p>
    <w:p w14:paraId="2B92CD8F" w14:textId="77777777" w:rsidR="006462FB" w:rsidRDefault="00314B85">
      <w:pPr>
        <w:spacing w:before="80" w:after="200"/>
        <w:rPr>
          <w:rFonts w:hint="eastAsia"/>
        </w:rPr>
      </w:pPr>
      <w:r>
        <w:rPr>
          <w:color w:val="F2C94C"/>
          <w:sz w:val="28"/>
        </w:rPr>
        <w:t>Both fail 80% of the time.</w:t>
      </w:r>
    </w:p>
    <w:p w14:paraId="39E4B16E" w14:textId="77777777" w:rsidR="006462FB" w:rsidRDefault="00314B85">
      <w:pPr>
        <w:spacing w:after="160"/>
        <w:rPr>
          <w:rFonts w:hint="eastAsia"/>
        </w:rPr>
      </w:pPr>
      <w:r>
        <w:t>Ruptiv is the third option. It starts with a Diagnostic Engagement. Both sides agree the baseline and how savings will be measured before a Sparring Partner is built. The Diagnostic fee converts to credit on the Disruption Engagement. From there, pricing is a proxy for documented cost savings. The Operating Engagement keeps the system running and compounds revenue.</w:t>
      </w:r>
    </w:p>
    <w:p w14:paraId="15779192" w14:textId="77777777" w:rsidR="006462FB" w:rsidRDefault="00314B85">
      <w:pPr>
        <w:spacing w:after="160"/>
        <w:rPr>
          <w:rFonts w:hint="eastAsia"/>
        </w:rPr>
      </w:pPr>
      <w:r>
        <w:t>That option does not exist yet as a named, trusted category. The window to own it is open now for three reasons.</w:t>
      </w:r>
    </w:p>
    <w:p w14:paraId="271841E4" w14:textId="77777777" w:rsidR="006462FB" w:rsidRDefault="00314B85">
      <w:pPr>
        <w:spacing w:after="120"/>
        <w:rPr>
          <w:rFonts w:hint="eastAsia"/>
        </w:rPr>
      </w:pPr>
      <w:r>
        <w:rPr>
          <w:b/>
          <w:color w:val="F2C94C"/>
        </w:rPr>
        <w:t xml:space="preserve">→  </w:t>
      </w:r>
      <w:r>
        <w:t>Agentic AI is mature enough to deliver real, measurable outcomes at scale. Klarna proved it. JPMorgan proved it. The technology is not the obstacle.</w:t>
      </w:r>
    </w:p>
    <w:p w14:paraId="68A495FA" w14:textId="77777777" w:rsidR="006462FB" w:rsidRDefault="00314B85">
      <w:pPr>
        <w:spacing w:after="120"/>
        <w:rPr>
          <w:rFonts w:hint="eastAsia"/>
        </w:rPr>
      </w:pPr>
      <w:r>
        <w:rPr>
          <w:b/>
          <w:color w:val="F2C94C"/>
        </w:rPr>
        <w:t xml:space="preserve">→  </w:t>
      </w:r>
      <w:r>
        <w:t>Enterprise failure rates have produced a buyer crisis. 73% of enterprise clients want to pay for outcomes. $547B in failed spend is being re-evaluated right now.</w:t>
      </w:r>
    </w:p>
    <w:p w14:paraId="0D1A82F9" w14:textId="77777777" w:rsidR="006462FB" w:rsidRDefault="00314B85">
      <w:pPr>
        <w:spacing w:after="120"/>
        <w:rPr>
          <w:rFonts w:hint="eastAsia"/>
        </w:rPr>
      </w:pPr>
      <w:r>
        <w:rPr>
          <w:b/>
          <w:color w:val="F2C94C"/>
        </w:rPr>
        <w:t xml:space="preserve">→  </w:t>
      </w:r>
      <w:r>
        <w:t>Large consultancies and SaaS vendors cannot move to outcome-based pricing without destroying how they currently make money. Ruptiv has no such constraint.</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462FB" w14:paraId="41221C4F"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4D1F3431" w14:textId="77777777" w:rsidR="006462FB" w:rsidRDefault="00314B85">
            <w:pPr>
              <w:spacing w:after="0"/>
              <w:rPr>
                <w:rFonts w:hint="eastAsia"/>
              </w:rPr>
            </w:pPr>
            <w:r>
              <w:rPr>
                <w:sz w:val="26"/>
              </w:rPr>
              <w:t>The market is asking for this. Nobody has answered.</w:t>
            </w:r>
          </w:p>
        </w:tc>
      </w:tr>
    </w:tbl>
    <w:p w14:paraId="54A4DABD" w14:textId="77777777" w:rsidR="006462FB" w:rsidRDefault="006462FB">
      <w:pPr>
        <w:rPr>
          <w:rFonts w:hint="eastAsia"/>
        </w:rPr>
      </w:pPr>
    </w:p>
    <w:p w14:paraId="53686EE8" w14:textId="77777777" w:rsidR="006462FB" w:rsidRDefault="00314B85">
      <w:pPr>
        <w:spacing w:before="280"/>
        <w:rPr>
          <w:rFonts w:hint="eastAsia"/>
        </w:rPr>
      </w:pPr>
      <w:r>
        <w:rPr>
          <w:sz w:val="28"/>
        </w:rPr>
        <w:t>Ruptiv is the End-to-End Workflow Disruptor.</w:t>
      </w:r>
    </w:p>
    <w:p w14:paraId="6873A9D9" w14:textId="77777777" w:rsidR="006462FB" w:rsidRDefault="00314B85">
      <w:pPr>
        <w:spacing w:after="0"/>
        <w:rPr>
          <w:rFonts w:hint="eastAsia"/>
        </w:rPr>
      </w:pPr>
      <w:r>
        <w:rPr>
          <w:sz w:val="28"/>
        </w:rPr>
        <w:t>Your enterprise becomes the Agentic Enterprise.</w:t>
      </w:r>
    </w:p>
    <w:sectPr w:rsidR="006462FB"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301600">
    <w:abstractNumId w:val="8"/>
  </w:num>
  <w:num w:numId="2" w16cid:durableId="39744101">
    <w:abstractNumId w:val="6"/>
  </w:num>
  <w:num w:numId="3" w16cid:durableId="505242592">
    <w:abstractNumId w:val="5"/>
  </w:num>
  <w:num w:numId="4" w16cid:durableId="865413236">
    <w:abstractNumId w:val="4"/>
  </w:num>
  <w:num w:numId="5" w16cid:durableId="1393429590">
    <w:abstractNumId w:val="7"/>
  </w:num>
  <w:num w:numId="6" w16cid:durableId="1089426132">
    <w:abstractNumId w:val="3"/>
  </w:num>
  <w:num w:numId="7" w16cid:durableId="182090653">
    <w:abstractNumId w:val="2"/>
  </w:num>
  <w:num w:numId="8" w16cid:durableId="1105344563">
    <w:abstractNumId w:val="1"/>
  </w:num>
  <w:num w:numId="9" w16cid:durableId="170644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B85"/>
    <w:rsid w:val="00326F90"/>
    <w:rsid w:val="00604EC1"/>
    <w:rsid w:val="006462FB"/>
    <w:rsid w:val="00AA1D8D"/>
    <w:rsid w:val="00B47730"/>
    <w:rsid w:val="00BB01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3B5ED-1E5E-4161-8F3B-6CAFC0F7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Inter" w:hAnsi="Inter"/>
      <w:color w:val="F4F1E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McKelvie</cp:lastModifiedBy>
  <cp:revision>2</cp:revision>
  <dcterms:created xsi:type="dcterms:W3CDTF">2026-05-04T19:22:00Z</dcterms:created>
  <dcterms:modified xsi:type="dcterms:W3CDTF">2026-05-04T19:22:00Z</dcterms:modified>
  <cp:category/>
</cp:coreProperties>
</file>