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F1729"/>
  <w:body>
    <w:p w14:paraId="19E12718" w14:textId="7DEDF019" w:rsidR="00FE1E21" w:rsidRPr="00FE1E21" w:rsidRDefault="001B2695">
      <w:pPr>
        <w:spacing w:after="0"/>
        <w:rPr>
          <w:rFonts w:hint="eastAsia"/>
          <w:b/>
          <w:color w:val="888780"/>
          <w:spacing w:val="60"/>
          <w:sz w:val="18"/>
        </w:rPr>
      </w:pPr>
      <w:r>
        <w:rPr>
          <w:b/>
          <w:color w:val="888780"/>
          <w:spacing w:val="60"/>
          <w:sz w:val="18"/>
        </w:rPr>
        <w:t>RUPTIV / POSITIONING / V</w:t>
      </w:r>
      <w:r w:rsidR="00FE1E21">
        <w:rPr>
          <w:b/>
          <w:color w:val="888780"/>
          <w:spacing w:val="60"/>
          <w:sz w:val="18"/>
        </w:rPr>
        <w:t>5</w:t>
      </w:r>
    </w:p>
    <w:p w14:paraId="353D469C" w14:textId="77777777" w:rsidR="006755EC" w:rsidRDefault="006755EC">
      <w:pPr>
        <w:spacing w:after="7600"/>
        <w:rPr>
          <w:rFonts w:hint="eastAsia"/>
        </w:rPr>
      </w:pPr>
    </w:p>
    <w:p w14:paraId="0ACAA033" w14:textId="77777777" w:rsidR="006755EC" w:rsidRDefault="001B2695">
      <w:pPr>
        <w:spacing w:after="0"/>
        <w:rPr>
          <w:rFonts w:hint="eastAsia"/>
        </w:rPr>
      </w:pPr>
      <w:r>
        <w:rPr>
          <w:sz w:val="112"/>
        </w:rPr>
        <w:t>Ruptiv</w:t>
      </w:r>
    </w:p>
    <w:p w14:paraId="1A70699F" w14:textId="77777777" w:rsidR="006755EC" w:rsidRDefault="001B2695">
      <w:pPr>
        <w:pBdr>
          <w:bottom w:val="single" w:sz="24" w:space="1" w:color="F2C94C"/>
        </w:pBdr>
        <w:spacing w:before="160" w:after="160"/>
        <w:ind w:right="6500"/>
        <w:rPr>
          <w:rFonts w:hint="eastAsia"/>
        </w:rPr>
      </w:pPr>
      <w:r>
        <w:t xml:space="preserve"> </w:t>
      </w:r>
    </w:p>
    <w:p w14:paraId="6590A8DD" w14:textId="77777777" w:rsidR="006755EC" w:rsidRDefault="001B2695">
      <w:pPr>
        <w:spacing w:before="80" w:after="0"/>
        <w:rPr>
          <w:rFonts w:hint="eastAsia"/>
        </w:rPr>
      </w:pPr>
      <w:r>
        <w:rPr>
          <w:i/>
          <w:sz w:val="32"/>
        </w:rPr>
        <w:t>Workflows, Reinvented.</w:t>
      </w:r>
    </w:p>
    <w:p w14:paraId="79AB17A6"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74979BE4" w14:textId="77777777">
        <w:tc>
          <w:tcPr>
            <w:tcW w:w="8640" w:type="dxa"/>
            <w:tcBorders>
              <w:top w:val="nil"/>
              <w:left w:val="nil"/>
              <w:bottom w:val="nil"/>
              <w:right w:val="nil"/>
            </w:tcBorders>
            <w:tcMar>
              <w:top w:w="0" w:type="dxa"/>
              <w:left w:w="0" w:type="dxa"/>
              <w:bottom w:w="40" w:type="dxa"/>
              <w:right w:w="0" w:type="dxa"/>
            </w:tcMar>
          </w:tcPr>
          <w:p w14:paraId="33B734B1" w14:textId="77777777" w:rsidR="006755EC" w:rsidRDefault="001B2695">
            <w:pPr>
              <w:spacing w:after="0"/>
              <w:rPr>
                <w:rFonts w:hint="eastAsia"/>
              </w:rPr>
            </w:pPr>
            <w:r>
              <w:rPr>
                <w:b/>
                <w:color w:val="888780"/>
                <w:spacing w:val="60"/>
                <w:sz w:val="18"/>
              </w:rPr>
              <w:lastRenderedPageBreak/>
              <w:t>PAGE 01 / WHAT RUPTIV IS</w:t>
            </w:r>
          </w:p>
        </w:tc>
        <w:tc>
          <w:tcPr>
            <w:tcW w:w="1440" w:type="dxa"/>
            <w:tcBorders>
              <w:top w:val="nil"/>
              <w:left w:val="nil"/>
              <w:bottom w:val="nil"/>
              <w:right w:val="nil"/>
            </w:tcBorders>
            <w:tcMar>
              <w:top w:w="0" w:type="dxa"/>
              <w:left w:w="0" w:type="dxa"/>
              <w:bottom w:w="40" w:type="dxa"/>
              <w:right w:w="0" w:type="dxa"/>
            </w:tcMar>
          </w:tcPr>
          <w:p w14:paraId="166D27AB" w14:textId="77777777" w:rsidR="006755EC" w:rsidRDefault="001B2695">
            <w:pPr>
              <w:spacing w:after="0"/>
              <w:jc w:val="right"/>
              <w:rPr>
                <w:rFonts w:hint="eastAsia"/>
              </w:rPr>
            </w:pPr>
            <w:r>
              <w:rPr>
                <w:color w:val="888780"/>
                <w:sz w:val="18"/>
              </w:rPr>
              <w:t>02</w:t>
            </w:r>
          </w:p>
        </w:tc>
      </w:tr>
    </w:tbl>
    <w:p w14:paraId="774472AF" w14:textId="77777777" w:rsidR="006755EC" w:rsidRDefault="001B2695">
      <w:pPr>
        <w:pBdr>
          <w:bottom w:val="single" w:sz="4" w:space="1" w:color="1F2D4A"/>
        </w:pBdr>
        <w:spacing w:after="240"/>
        <w:rPr>
          <w:rFonts w:hint="eastAsia"/>
        </w:rPr>
      </w:pPr>
      <w:r>
        <w:t xml:space="preserve"> </w:t>
      </w:r>
    </w:p>
    <w:p w14:paraId="17F0A354" w14:textId="77777777" w:rsidR="006755EC" w:rsidRDefault="001B2695">
      <w:pPr>
        <w:spacing w:after="200"/>
        <w:rPr>
          <w:rFonts w:hint="eastAsia"/>
        </w:rPr>
      </w:pPr>
      <w:r>
        <w:rPr>
          <w:sz w:val="48"/>
        </w:rPr>
        <w:t>What Ruptiv is.</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755EC" w14:paraId="498473A5"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05B69BD2" w14:textId="77777777" w:rsidR="006755EC" w:rsidRDefault="001B2695">
            <w:pPr>
              <w:spacing w:after="0"/>
              <w:rPr>
                <w:rFonts w:hint="eastAsia"/>
              </w:rPr>
            </w:pPr>
            <w:r>
              <w:rPr>
                <w:sz w:val="24"/>
              </w:rPr>
              <w:t>Ruptiv is the End-to-End Workflow Disruptor. We evolve enterprise workflows from headcount-executed to agent-executed, install Listening Systems that keep the operating model intelligent, and invoice when the cost line moves.</w:t>
            </w:r>
          </w:p>
        </w:tc>
      </w:tr>
    </w:tbl>
    <w:p w14:paraId="79556F28" w14:textId="77777777" w:rsidR="006755EC" w:rsidRDefault="006755EC">
      <w:pPr>
        <w:rPr>
          <w:rFonts w:hint="eastAsia"/>
        </w:rPr>
      </w:pPr>
    </w:p>
    <w:p w14:paraId="5D965926" w14:textId="77777777" w:rsidR="006755EC" w:rsidRDefault="001B2695">
      <w:pPr>
        <w:spacing w:after="160"/>
        <w:rPr>
          <w:rFonts w:hint="eastAsia"/>
        </w:rPr>
      </w:pPr>
      <w:r>
        <w:t>That sentence is the firm. Everything that follows explains how it works and why it can be promised.</w:t>
      </w:r>
    </w:p>
    <w:p w14:paraId="6BE6FE50" w14:textId="77777777" w:rsidR="006755EC" w:rsidRDefault="001B2695">
      <w:pPr>
        <w:spacing w:after="280"/>
        <w:rPr>
          <w:rFonts w:hint="eastAsia"/>
        </w:rPr>
      </w:pPr>
      <w:r>
        <w:rPr>
          <w:i/>
          <w:color w:val="888780"/>
        </w:rPr>
        <w:t>The category, End-to-End Workflow Disruptor, is not a Ruptiv coinage. It is one of four positions named in McKinsey's published agentic AI value propositions framework. Of the four positions, it is the most defensible and the most valuable. Ruptiv holds it.</w:t>
      </w:r>
    </w:p>
    <w:p w14:paraId="17B73867" w14:textId="77777777" w:rsidR="006755EC" w:rsidRDefault="001B2695">
      <w:pPr>
        <w:spacing w:before="200" w:after="160"/>
        <w:rPr>
          <w:rFonts w:hint="eastAsia"/>
        </w:rPr>
      </w:pPr>
      <w:r>
        <w:rPr>
          <w:sz w:val="48"/>
        </w:rPr>
        <w:t>Two identities.</w:t>
      </w:r>
    </w:p>
    <w:p w14:paraId="6AFB8C46" w14:textId="77777777" w:rsidR="006755EC" w:rsidRDefault="001B2695">
      <w:pPr>
        <w:spacing w:after="200"/>
        <w:rPr>
          <w:rFonts w:hint="eastAsia"/>
        </w:rPr>
      </w:pPr>
      <w:r>
        <w:rPr>
          <w:i/>
          <w:sz w:val="22"/>
        </w:rPr>
        <w:t>Ruptiv operates from two identities, each used in different contexts. Both are true. Both are precise.</w:t>
      </w:r>
    </w:p>
    <w:p w14:paraId="4F4156DC" w14:textId="77777777" w:rsidR="006755EC" w:rsidRDefault="001B2695">
      <w:pPr>
        <w:spacing w:after="160"/>
        <w:rPr>
          <w:rFonts w:hint="eastAsia"/>
        </w:rPr>
      </w:pPr>
      <w:r>
        <w:rPr>
          <w:b/>
        </w:rPr>
        <w:t xml:space="preserve">Ruptiv is the End-to-End Workflow Disruptor. </w:t>
      </w:r>
      <w:r>
        <w:t>This is who Ruptiv is. The seller's identity. The category claim. Used in investor conversations, market positioning, and competitive differentiation.</w:t>
      </w:r>
    </w:p>
    <w:p w14:paraId="18AE1276" w14:textId="77777777" w:rsidR="006755EC" w:rsidRDefault="001B2695">
      <w:pPr>
        <w:spacing w:after="200"/>
        <w:rPr>
          <w:rFonts w:hint="eastAsia"/>
        </w:rPr>
      </w:pPr>
      <w:r>
        <w:rPr>
          <w:b/>
        </w:rPr>
        <w:t xml:space="preserve">Your enterprise becomes the Agentic Enterprise. </w:t>
      </w:r>
      <w:r>
        <w:t>This is what the customer becomes. The buyer's destination. Used in discovery calls, board presentations, and engagement framing.</w:t>
      </w:r>
    </w:p>
    <w:p w14:paraId="6906F8DB" w14:textId="77777777" w:rsidR="006755EC" w:rsidRDefault="001B2695">
      <w:pPr>
        <w:spacing w:after="0"/>
        <w:rPr>
          <w:rFonts w:hint="eastAsia"/>
        </w:rPr>
      </w:pPr>
      <w:r>
        <w:rPr>
          <w:i/>
          <w:color w:val="888780"/>
        </w:rPr>
        <w:t>The simple rule: Ruptiv is the Workflow Disruptor. The customer becomes the Agentic Enterprise. The two identities never collide because they answer different questions.</w:t>
      </w:r>
    </w:p>
    <w:p w14:paraId="4B85C80B"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71FF2929" w14:textId="77777777">
        <w:tc>
          <w:tcPr>
            <w:tcW w:w="8640" w:type="dxa"/>
            <w:tcBorders>
              <w:top w:val="nil"/>
              <w:left w:val="nil"/>
              <w:bottom w:val="nil"/>
              <w:right w:val="nil"/>
            </w:tcBorders>
            <w:tcMar>
              <w:top w:w="0" w:type="dxa"/>
              <w:left w:w="0" w:type="dxa"/>
              <w:bottom w:w="40" w:type="dxa"/>
              <w:right w:w="0" w:type="dxa"/>
            </w:tcMar>
          </w:tcPr>
          <w:p w14:paraId="665829B5" w14:textId="77777777" w:rsidR="006755EC" w:rsidRDefault="001B2695">
            <w:pPr>
              <w:spacing w:after="0"/>
              <w:rPr>
                <w:rFonts w:hint="eastAsia"/>
              </w:rPr>
            </w:pPr>
            <w:r>
              <w:rPr>
                <w:b/>
                <w:color w:val="888780"/>
                <w:spacing w:val="60"/>
                <w:sz w:val="18"/>
              </w:rPr>
              <w:lastRenderedPageBreak/>
              <w:t>PAGE 02 / THE CORE INSIGHT</w:t>
            </w:r>
          </w:p>
        </w:tc>
        <w:tc>
          <w:tcPr>
            <w:tcW w:w="1440" w:type="dxa"/>
            <w:tcBorders>
              <w:top w:val="nil"/>
              <w:left w:val="nil"/>
              <w:bottom w:val="nil"/>
              <w:right w:val="nil"/>
            </w:tcBorders>
            <w:tcMar>
              <w:top w:w="0" w:type="dxa"/>
              <w:left w:w="0" w:type="dxa"/>
              <w:bottom w:w="40" w:type="dxa"/>
              <w:right w:w="0" w:type="dxa"/>
            </w:tcMar>
          </w:tcPr>
          <w:p w14:paraId="5F44EB2E" w14:textId="77777777" w:rsidR="006755EC" w:rsidRDefault="001B2695">
            <w:pPr>
              <w:spacing w:after="0"/>
              <w:jc w:val="right"/>
              <w:rPr>
                <w:rFonts w:hint="eastAsia"/>
              </w:rPr>
            </w:pPr>
            <w:r>
              <w:rPr>
                <w:color w:val="888780"/>
                <w:sz w:val="18"/>
              </w:rPr>
              <w:t>03</w:t>
            </w:r>
          </w:p>
        </w:tc>
      </w:tr>
    </w:tbl>
    <w:p w14:paraId="64DB07D9" w14:textId="77777777" w:rsidR="006755EC" w:rsidRDefault="001B2695">
      <w:pPr>
        <w:pBdr>
          <w:bottom w:val="single" w:sz="4" w:space="1" w:color="1F2D4A"/>
        </w:pBdr>
        <w:spacing w:after="240"/>
        <w:rPr>
          <w:rFonts w:hint="eastAsia"/>
        </w:rPr>
      </w:pPr>
      <w:r>
        <w:t xml:space="preserve"> </w:t>
      </w:r>
    </w:p>
    <w:p w14:paraId="41C8F6B5" w14:textId="77777777" w:rsidR="006755EC" w:rsidRDefault="001B2695">
      <w:pPr>
        <w:spacing w:after="160"/>
        <w:rPr>
          <w:rFonts w:hint="eastAsia"/>
        </w:rPr>
      </w:pPr>
      <w:r>
        <w:rPr>
          <w:sz w:val="48"/>
        </w:rPr>
        <w:t>The core insight.</w:t>
      </w:r>
    </w:p>
    <w:p w14:paraId="55AD66A7" w14:textId="77777777" w:rsidR="006755EC" w:rsidRDefault="001B2695">
      <w:pPr>
        <w:spacing w:after="120"/>
        <w:rPr>
          <w:rFonts w:hint="eastAsia"/>
        </w:rPr>
      </w:pPr>
      <w:r>
        <w:t>Enterprise workflows are not broken. They are sophisticated, essential, and expensive. The question is not whether they work. The question is whether they need to run on headcount.</w:t>
      </w:r>
    </w:p>
    <w:p w14:paraId="7847F9E5" w14:textId="77777777" w:rsidR="006755EC" w:rsidRDefault="001B2695">
      <w:pPr>
        <w:spacing w:after="200"/>
        <w:rPr>
          <w:rFonts w:hint="eastAsia"/>
        </w:rPr>
      </w:pPr>
      <w:r>
        <w:t>The Develop, Direct, and Deliver workflows in a Fortune 500 represent decades of investment, significant vendor relationships, and the majority of operating cost. These workflows run on headcount because that was the only option when they were designed.</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755EC" w14:paraId="5831AA79"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7C4AAF3D" w14:textId="77777777" w:rsidR="006755EC" w:rsidRDefault="001B2695">
            <w:pPr>
              <w:spacing w:after="0"/>
              <w:rPr>
                <w:rFonts w:hint="eastAsia"/>
              </w:rPr>
            </w:pPr>
            <w:r>
              <w:rPr>
                <w:sz w:val="24"/>
              </w:rPr>
              <w:t>The outcome the workflow produces does not change. How the workflow produces it does. So does the cost structure.</w:t>
            </w:r>
          </w:p>
        </w:tc>
      </w:tr>
    </w:tbl>
    <w:p w14:paraId="0465D2C8" w14:textId="77777777" w:rsidR="006755EC" w:rsidRDefault="006755EC">
      <w:pPr>
        <w:rPr>
          <w:rFonts w:hint="eastAsia"/>
        </w:rPr>
      </w:pPr>
    </w:p>
    <w:p w14:paraId="5153E892" w14:textId="77777777" w:rsidR="006755EC" w:rsidRDefault="001B2695">
      <w:pPr>
        <w:spacing w:after="200"/>
        <w:rPr>
          <w:rFonts w:hint="eastAsia"/>
        </w:rPr>
      </w:pPr>
      <w:r>
        <w:rPr>
          <w:i/>
          <w:color w:val="888780"/>
        </w:rPr>
        <w:t>McKinsey's State of Organizations 2026 makes the point directly. Organizations that redesign end-to-end workflows see the greatest EBIT impact from AI. Organizations that bolt agents onto existing processes see almost none. The gap is not marginal. It is the difference between the 80% of AI projects that fail and the 5% that produce real returns.</w:t>
      </w:r>
    </w:p>
    <w:p w14:paraId="1B0DFF6F" w14:textId="77777777" w:rsidR="006755EC" w:rsidRDefault="001B2695">
      <w:pPr>
        <w:spacing w:after="280"/>
        <w:rPr>
          <w:rFonts w:hint="eastAsia"/>
        </w:rPr>
      </w:pPr>
      <w:r>
        <w:rPr>
          <w:color w:val="F2C94C"/>
          <w:sz w:val="28"/>
        </w:rPr>
        <w:t>Ruptiv operates in that 5%.</w:t>
      </w:r>
    </w:p>
    <w:p w14:paraId="030D095D" w14:textId="77777777" w:rsidR="006755EC" w:rsidRDefault="001B2695">
      <w:pPr>
        <w:spacing w:before="160" w:after="120"/>
        <w:rPr>
          <w:rFonts w:hint="eastAsia"/>
        </w:rPr>
      </w:pPr>
      <w:r>
        <w:rPr>
          <w:sz w:val="44"/>
        </w:rPr>
        <w:t>Develop, Direct, Deliver.</w:t>
      </w:r>
    </w:p>
    <w:p w14:paraId="262CE591" w14:textId="77777777" w:rsidR="006755EC" w:rsidRDefault="001B2695">
      <w:pPr>
        <w:spacing w:after="200"/>
        <w:rPr>
          <w:rFonts w:hint="eastAsia"/>
        </w:rPr>
      </w:pPr>
      <w:r>
        <w:rPr>
          <w:i/>
          <w:sz w:val="22"/>
        </w:rPr>
        <w:t>Every enterprise workflow belongs to one of three categories. Together they constitute the operating model. Ruptiv maps the operating model through this lens before any engagement begins.</w:t>
      </w:r>
    </w:p>
    <w:p w14:paraId="236FA8AC" w14:textId="77777777" w:rsidR="006755EC" w:rsidRDefault="001B2695">
      <w:pPr>
        <w:spacing w:after="0"/>
        <w:rPr>
          <w:rFonts w:hint="eastAsia"/>
        </w:rPr>
      </w:pPr>
      <w:r>
        <w:rPr>
          <w:i/>
          <w:color w:val="888780"/>
          <w:sz w:val="19"/>
        </w:rPr>
        <w:t>The three D's come from the Responsive Framework, the diagnostic foundation Ruptiv operates from. The Framework was authored by Tim Mooney and is now Ruptiv-published IP.</w:t>
      </w:r>
    </w:p>
    <w:p w14:paraId="0DA6936C"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562CF4A6" w14:textId="77777777">
        <w:tc>
          <w:tcPr>
            <w:tcW w:w="8640" w:type="dxa"/>
            <w:tcBorders>
              <w:top w:val="nil"/>
              <w:left w:val="nil"/>
              <w:bottom w:val="nil"/>
              <w:right w:val="nil"/>
            </w:tcBorders>
            <w:tcMar>
              <w:top w:w="0" w:type="dxa"/>
              <w:left w:w="0" w:type="dxa"/>
              <w:bottom w:w="40" w:type="dxa"/>
              <w:right w:w="0" w:type="dxa"/>
            </w:tcMar>
          </w:tcPr>
          <w:p w14:paraId="4A724DE8" w14:textId="77777777" w:rsidR="006755EC" w:rsidRDefault="001B2695">
            <w:pPr>
              <w:spacing w:after="0"/>
              <w:rPr>
                <w:rFonts w:hint="eastAsia"/>
              </w:rPr>
            </w:pPr>
            <w:r>
              <w:rPr>
                <w:b/>
                <w:color w:val="888780"/>
                <w:spacing w:val="60"/>
                <w:sz w:val="18"/>
              </w:rPr>
              <w:lastRenderedPageBreak/>
              <w:t>PAGE 03 / DEVELOP, DIRECT, DELIVER</w:t>
            </w:r>
          </w:p>
        </w:tc>
        <w:tc>
          <w:tcPr>
            <w:tcW w:w="1440" w:type="dxa"/>
            <w:tcBorders>
              <w:top w:val="nil"/>
              <w:left w:val="nil"/>
              <w:bottom w:val="nil"/>
              <w:right w:val="nil"/>
            </w:tcBorders>
            <w:tcMar>
              <w:top w:w="0" w:type="dxa"/>
              <w:left w:w="0" w:type="dxa"/>
              <w:bottom w:w="40" w:type="dxa"/>
              <w:right w:w="0" w:type="dxa"/>
            </w:tcMar>
          </w:tcPr>
          <w:p w14:paraId="1E23958D" w14:textId="77777777" w:rsidR="006755EC" w:rsidRDefault="001B2695">
            <w:pPr>
              <w:spacing w:after="0"/>
              <w:jc w:val="right"/>
              <w:rPr>
                <w:rFonts w:hint="eastAsia"/>
              </w:rPr>
            </w:pPr>
            <w:r>
              <w:rPr>
                <w:color w:val="888780"/>
                <w:sz w:val="18"/>
              </w:rPr>
              <w:t>04</w:t>
            </w:r>
          </w:p>
        </w:tc>
      </w:tr>
    </w:tbl>
    <w:p w14:paraId="15B26783" w14:textId="77777777" w:rsidR="006755EC" w:rsidRDefault="001B2695">
      <w:pPr>
        <w:pBdr>
          <w:bottom w:val="single" w:sz="4" w:space="1" w:color="1F2D4A"/>
        </w:pBdr>
        <w:spacing w:after="240"/>
        <w:rPr>
          <w:rFonts w:hint="eastAsia"/>
        </w:rPr>
      </w:pPr>
      <w:r>
        <w:t xml:space="preserve"> </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755EC" w14:paraId="3BAFBD92" w14:textId="77777777">
        <w:tc>
          <w:tcPr>
            <w:tcW w:w="10080" w:type="dxa"/>
            <w:tcBorders>
              <w:top w:val="nil"/>
              <w:left w:val="single" w:sz="24" w:space="0" w:color="F2C94C"/>
              <w:bottom w:val="nil"/>
              <w:right w:val="nil"/>
            </w:tcBorders>
            <w:shd w:val="clear" w:color="auto" w:fill="1F2D4A"/>
            <w:tcMar>
              <w:top w:w="160" w:type="dxa"/>
              <w:left w:w="240" w:type="dxa"/>
              <w:bottom w:w="160" w:type="dxa"/>
              <w:right w:w="240" w:type="dxa"/>
            </w:tcMar>
          </w:tcPr>
          <w:p w14:paraId="7839D2F2" w14:textId="77777777" w:rsidR="006755EC" w:rsidRDefault="001B2695">
            <w:pPr>
              <w:spacing w:after="40"/>
              <w:rPr>
                <w:rFonts w:hint="eastAsia"/>
              </w:rPr>
            </w:pPr>
            <w:r>
              <w:rPr>
                <w:color w:val="F2C94C"/>
                <w:sz w:val="28"/>
              </w:rPr>
              <w:t>Develop</w:t>
            </w:r>
          </w:p>
          <w:p w14:paraId="5D5E7D42" w14:textId="77777777" w:rsidR="006755EC" w:rsidRDefault="001B2695">
            <w:pPr>
              <w:spacing w:after="120"/>
              <w:rPr>
                <w:rFonts w:hint="eastAsia"/>
              </w:rPr>
            </w:pPr>
            <w:r>
              <w:rPr>
                <w:i/>
                <w:color w:val="4FC3DC"/>
                <w:sz w:val="18"/>
              </w:rPr>
              <w:t>Workflows that create value.</w:t>
            </w:r>
          </w:p>
          <w:p w14:paraId="0CF823D2" w14:textId="77777777" w:rsidR="006755EC" w:rsidRDefault="001B2695">
            <w:pPr>
              <w:rPr>
                <w:rFonts w:hint="eastAsia"/>
              </w:rPr>
            </w:pPr>
            <w:r>
              <w:rPr>
                <w:b/>
                <w:sz w:val="19"/>
              </w:rPr>
              <w:t xml:space="preserve">Role in the operating model: </w:t>
            </w:r>
            <w:r>
              <w:rPr>
                <w:sz w:val="19"/>
              </w:rPr>
              <w:t>Product development, service design, innovation pipelines, R&amp;D operations. Workflows that shape what the enterprise brings to market. They run on the judgment and coordination of skilled teams.</w:t>
            </w:r>
          </w:p>
          <w:p w14:paraId="2682F6C6" w14:textId="77777777" w:rsidR="006755EC" w:rsidRDefault="001B2695">
            <w:pPr>
              <w:rPr>
                <w:rFonts w:hint="eastAsia"/>
              </w:rPr>
            </w:pPr>
            <w:r>
              <w:rPr>
                <w:b/>
                <w:sz w:val="19"/>
              </w:rPr>
              <w:t xml:space="preserve">What Ruptiv evolves: </w:t>
            </w:r>
            <w:r>
              <w:rPr>
                <w:sz w:val="19"/>
              </w:rPr>
              <w:t>Agents accelerate the cycle, reduce coordination cost, and free expert teams to focus on the decisions that require human judgment.</w:t>
            </w:r>
          </w:p>
          <w:p w14:paraId="0941C859" w14:textId="77777777" w:rsidR="006755EC" w:rsidRDefault="001B2695">
            <w:pPr>
              <w:rPr>
                <w:rFonts w:hint="eastAsia"/>
              </w:rPr>
            </w:pPr>
            <w:r>
              <w:rPr>
                <w:b/>
                <w:sz w:val="19"/>
              </w:rPr>
              <w:t xml:space="preserve">Where it shows up: </w:t>
            </w:r>
            <w:r>
              <w:rPr>
                <w:sz w:val="19"/>
              </w:rPr>
              <w:t>Product roadmap synthesis, market intelligence, design iteration, requirements management.</w:t>
            </w:r>
          </w:p>
        </w:tc>
      </w:tr>
    </w:tbl>
    <w:p w14:paraId="60086F91" w14:textId="77777777" w:rsidR="006755EC" w:rsidRDefault="006755EC">
      <w:pPr>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755EC" w14:paraId="0E55B177" w14:textId="77777777">
        <w:tc>
          <w:tcPr>
            <w:tcW w:w="10080" w:type="dxa"/>
            <w:tcBorders>
              <w:top w:val="nil"/>
              <w:left w:val="single" w:sz="24" w:space="0" w:color="F2C94C"/>
              <w:bottom w:val="nil"/>
              <w:right w:val="nil"/>
            </w:tcBorders>
            <w:shd w:val="clear" w:color="auto" w:fill="1F2D4A"/>
            <w:tcMar>
              <w:top w:w="160" w:type="dxa"/>
              <w:left w:w="240" w:type="dxa"/>
              <w:bottom w:w="160" w:type="dxa"/>
              <w:right w:w="240" w:type="dxa"/>
            </w:tcMar>
          </w:tcPr>
          <w:p w14:paraId="3EACEC3C" w14:textId="77777777" w:rsidR="006755EC" w:rsidRDefault="001B2695">
            <w:pPr>
              <w:spacing w:after="40"/>
              <w:rPr>
                <w:rFonts w:hint="eastAsia"/>
              </w:rPr>
            </w:pPr>
            <w:r>
              <w:rPr>
                <w:color w:val="F2C94C"/>
                <w:sz w:val="28"/>
              </w:rPr>
              <w:t>Direct</w:t>
            </w:r>
          </w:p>
          <w:p w14:paraId="0AEF9C7B" w14:textId="77777777" w:rsidR="006755EC" w:rsidRDefault="001B2695">
            <w:pPr>
              <w:spacing w:after="120"/>
              <w:rPr>
                <w:rFonts w:hint="eastAsia"/>
              </w:rPr>
            </w:pPr>
            <w:r>
              <w:rPr>
                <w:i/>
                <w:color w:val="4FC3DC"/>
                <w:sz w:val="18"/>
              </w:rPr>
              <w:t>Workflows that govern direction.</w:t>
            </w:r>
          </w:p>
          <w:p w14:paraId="2552D6A1" w14:textId="77777777" w:rsidR="006755EC" w:rsidRDefault="001B2695">
            <w:pPr>
              <w:rPr>
                <w:rFonts w:hint="eastAsia"/>
              </w:rPr>
            </w:pPr>
            <w:r>
              <w:rPr>
                <w:b/>
                <w:sz w:val="19"/>
              </w:rPr>
              <w:t xml:space="preserve">Role in the operating model: </w:t>
            </w:r>
            <w:r>
              <w:rPr>
                <w:sz w:val="19"/>
              </w:rPr>
              <w:t>Resource allocation, planning, budgeting, risk assessment, performance reviews, compliance. Workflows that set enterprise direction and consume significant senior leadership time.</w:t>
            </w:r>
          </w:p>
          <w:p w14:paraId="76009DF3" w14:textId="77777777" w:rsidR="006755EC" w:rsidRDefault="001B2695">
            <w:pPr>
              <w:rPr>
                <w:rFonts w:hint="eastAsia"/>
              </w:rPr>
            </w:pPr>
            <w:r>
              <w:rPr>
                <w:b/>
                <w:sz w:val="19"/>
              </w:rPr>
              <w:t xml:space="preserve">What Ruptiv evolves: </w:t>
            </w:r>
            <w:r>
              <w:rPr>
                <w:sz w:val="19"/>
              </w:rPr>
              <w:t>Agents process information, surface insights, prepare decisions, and track outcomes against the agreed baseline, freeing leaders to decide rather than to prepare.</w:t>
            </w:r>
          </w:p>
          <w:p w14:paraId="10B86DB7" w14:textId="77777777" w:rsidR="006755EC" w:rsidRDefault="001B2695">
            <w:pPr>
              <w:rPr>
                <w:rFonts w:hint="eastAsia"/>
              </w:rPr>
            </w:pPr>
            <w:r>
              <w:rPr>
                <w:b/>
                <w:sz w:val="19"/>
              </w:rPr>
              <w:t xml:space="preserve">Where it shows up: </w:t>
            </w:r>
            <w:r>
              <w:rPr>
                <w:sz w:val="19"/>
              </w:rPr>
              <w:t>Financial planning analysis, risk monitoring, compliance documentation, performance dashboards, scenario modeling.</w:t>
            </w:r>
          </w:p>
        </w:tc>
      </w:tr>
    </w:tbl>
    <w:p w14:paraId="0885ED9D" w14:textId="77777777" w:rsidR="006755EC" w:rsidRDefault="006755EC">
      <w:pPr>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755EC" w14:paraId="606C6831" w14:textId="77777777">
        <w:tc>
          <w:tcPr>
            <w:tcW w:w="10080" w:type="dxa"/>
            <w:tcBorders>
              <w:top w:val="nil"/>
              <w:left w:val="single" w:sz="24" w:space="0" w:color="F2C94C"/>
              <w:bottom w:val="nil"/>
              <w:right w:val="nil"/>
            </w:tcBorders>
            <w:shd w:val="clear" w:color="auto" w:fill="1F2D4A"/>
            <w:tcMar>
              <w:top w:w="160" w:type="dxa"/>
              <w:left w:w="240" w:type="dxa"/>
              <w:bottom w:w="160" w:type="dxa"/>
              <w:right w:w="240" w:type="dxa"/>
            </w:tcMar>
          </w:tcPr>
          <w:p w14:paraId="14F9492C" w14:textId="77777777" w:rsidR="006755EC" w:rsidRDefault="001B2695">
            <w:pPr>
              <w:spacing w:after="40"/>
              <w:rPr>
                <w:rFonts w:hint="eastAsia"/>
              </w:rPr>
            </w:pPr>
            <w:r>
              <w:rPr>
                <w:color w:val="F2C94C"/>
                <w:sz w:val="28"/>
              </w:rPr>
              <w:t>Deliver</w:t>
            </w:r>
          </w:p>
          <w:p w14:paraId="3A78EC1C" w14:textId="77777777" w:rsidR="006755EC" w:rsidRDefault="001B2695">
            <w:pPr>
              <w:spacing w:after="120"/>
              <w:rPr>
                <w:rFonts w:hint="eastAsia"/>
              </w:rPr>
            </w:pPr>
            <w:r>
              <w:rPr>
                <w:i/>
                <w:color w:val="4FC3DC"/>
                <w:sz w:val="18"/>
              </w:rPr>
              <w:t>Workflows that execute at scale.</w:t>
            </w:r>
          </w:p>
          <w:p w14:paraId="4C06C0D1" w14:textId="77777777" w:rsidR="006755EC" w:rsidRDefault="001B2695">
            <w:pPr>
              <w:rPr>
                <w:rFonts w:hint="eastAsia"/>
              </w:rPr>
            </w:pPr>
            <w:r>
              <w:rPr>
                <w:b/>
                <w:sz w:val="19"/>
              </w:rPr>
              <w:t xml:space="preserve">Role in the operating model: </w:t>
            </w:r>
            <w:r>
              <w:rPr>
                <w:sz w:val="19"/>
              </w:rPr>
              <w:t>Operations, shared services, customer operations, procurement, HR, IT. Workflows that run the enterprise day to day. They represent the highest concentration of headcount cost.</w:t>
            </w:r>
          </w:p>
          <w:p w14:paraId="3A1FF92D" w14:textId="77777777" w:rsidR="006755EC" w:rsidRDefault="001B2695">
            <w:pPr>
              <w:rPr>
                <w:rFonts w:hint="eastAsia"/>
              </w:rPr>
            </w:pPr>
            <w:r>
              <w:rPr>
                <w:b/>
                <w:sz w:val="19"/>
              </w:rPr>
              <w:t xml:space="preserve">What Ruptiv evolves: </w:t>
            </w:r>
            <w:r>
              <w:rPr>
                <w:sz w:val="19"/>
              </w:rPr>
              <w:t>Agents execute the repeatable, high-volume work that currently consumes headcount. The cost reduction is fastest here and most directly measurable against the pre-agreed baseline.</w:t>
            </w:r>
          </w:p>
          <w:p w14:paraId="77A718B9" w14:textId="77777777" w:rsidR="006755EC" w:rsidRDefault="001B2695">
            <w:pPr>
              <w:rPr>
                <w:rFonts w:hint="eastAsia"/>
              </w:rPr>
            </w:pPr>
            <w:r>
              <w:rPr>
                <w:b/>
                <w:sz w:val="19"/>
              </w:rPr>
              <w:t xml:space="preserve">Where it shows up: </w:t>
            </w:r>
            <w:r>
              <w:rPr>
                <w:sz w:val="19"/>
              </w:rPr>
              <w:t>Claims processing, contract review, onboarding, procurement management, customer service, financial operations.</w:t>
            </w:r>
          </w:p>
        </w:tc>
      </w:tr>
    </w:tbl>
    <w:p w14:paraId="39E60AB9" w14:textId="77777777" w:rsidR="006755EC" w:rsidRDefault="006755EC">
      <w:pPr>
        <w:rPr>
          <w:rFonts w:hint="eastAsia"/>
        </w:rPr>
      </w:pPr>
    </w:p>
    <w:p w14:paraId="49363CC3" w14:textId="77777777" w:rsidR="006755EC" w:rsidRDefault="001B2695">
      <w:pPr>
        <w:spacing w:after="120"/>
        <w:rPr>
          <w:rFonts w:hint="eastAsia"/>
        </w:rPr>
      </w:pPr>
      <w:r>
        <w:t>The Develop, Direct, Deliver framework is the diagnostic vocabulary buyers see. Underneath it sits the full Responsive Framework, six elements deep, used internally during the Diagnostic Listening System.</w:t>
      </w:r>
    </w:p>
    <w:p w14:paraId="40C5F1B6" w14:textId="77777777" w:rsidR="006755EC" w:rsidRDefault="001B2695">
      <w:pPr>
        <w:spacing w:after="120"/>
        <w:rPr>
          <w:rFonts w:hint="eastAsia"/>
        </w:rPr>
      </w:pPr>
      <w:r>
        <w:t>D/D/D tells Ruptiv where cost is concentrated, where the measurement baseline should be set, and where the first agents should go.</w:t>
      </w:r>
    </w:p>
    <w:p w14:paraId="04D6AA0A"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2ECCCC7B" w14:textId="77777777">
        <w:tc>
          <w:tcPr>
            <w:tcW w:w="8640" w:type="dxa"/>
            <w:tcBorders>
              <w:top w:val="nil"/>
              <w:left w:val="nil"/>
              <w:bottom w:val="nil"/>
              <w:right w:val="nil"/>
            </w:tcBorders>
            <w:tcMar>
              <w:top w:w="0" w:type="dxa"/>
              <w:left w:w="0" w:type="dxa"/>
              <w:bottom w:w="40" w:type="dxa"/>
              <w:right w:w="0" w:type="dxa"/>
            </w:tcMar>
          </w:tcPr>
          <w:p w14:paraId="3A45E9B8" w14:textId="77777777" w:rsidR="006755EC" w:rsidRDefault="001B2695">
            <w:pPr>
              <w:spacing w:after="0"/>
              <w:rPr>
                <w:rFonts w:hint="eastAsia"/>
              </w:rPr>
            </w:pPr>
            <w:r>
              <w:rPr>
                <w:b/>
                <w:color w:val="888780"/>
                <w:spacing w:val="60"/>
                <w:sz w:val="18"/>
              </w:rPr>
              <w:lastRenderedPageBreak/>
              <w:t>PAGE 04 / THE RUPTIV STACK</w:t>
            </w:r>
          </w:p>
        </w:tc>
        <w:tc>
          <w:tcPr>
            <w:tcW w:w="1440" w:type="dxa"/>
            <w:tcBorders>
              <w:top w:val="nil"/>
              <w:left w:val="nil"/>
              <w:bottom w:val="nil"/>
              <w:right w:val="nil"/>
            </w:tcBorders>
            <w:tcMar>
              <w:top w:w="0" w:type="dxa"/>
              <w:left w:w="0" w:type="dxa"/>
              <w:bottom w:w="40" w:type="dxa"/>
              <w:right w:w="0" w:type="dxa"/>
            </w:tcMar>
          </w:tcPr>
          <w:p w14:paraId="27241881" w14:textId="77777777" w:rsidR="006755EC" w:rsidRDefault="001B2695">
            <w:pPr>
              <w:spacing w:after="0"/>
              <w:jc w:val="right"/>
              <w:rPr>
                <w:rFonts w:hint="eastAsia"/>
              </w:rPr>
            </w:pPr>
            <w:r>
              <w:rPr>
                <w:color w:val="888780"/>
                <w:sz w:val="18"/>
              </w:rPr>
              <w:t>05</w:t>
            </w:r>
          </w:p>
        </w:tc>
      </w:tr>
    </w:tbl>
    <w:p w14:paraId="01CD4655" w14:textId="77777777" w:rsidR="006755EC" w:rsidRDefault="001B2695">
      <w:pPr>
        <w:pBdr>
          <w:bottom w:val="single" w:sz="4" w:space="1" w:color="1F2D4A"/>
        </w:pBdr>
        <w:spacing w:after="240"/>
        <w:rPr>
          <w:rFonts w:hint="eastAsia"/>
        </w:rPr>
      </w:pPr>
      <w:r>
        <w:t xml:space="preserve"> </w:t>
      </w:r>
    </w:p>
    <w:p w14:paraId="3B0FCE78" w14:textId="77777777" w:rsidR="006755EC" w:rsidRDefault="001B2695">
      <w:pPr>
        <w:spacing w:after="120"/>
        <w:rPr>
          <w:rFonts w:hint="eastAsia"/>
        </w:rPr>
      </w:pPr>
      <w:r>
        <w:rPr>
          <w:sz w:val="48"/>
        </w:rPr>
        <w:t>The Ruptiv stack.</w:t>
      </w:r>
    </w:p>
    <w:p w14:paraId="6870B626" w14:textId="77777777" w:rsidR="006755EC" w:rsidRDefault="001B2695">
      <w:pPr>
        <w:spacing w:after="200"/>
        <w:rPr>
          <w:rFonts w:hint="eastAsia"/>
        </w:rPr>
      </w:pPr>
      <w:r>
        <w:rPr>
          <w:i/>
          <w:sz w:val="22"/>
        </w:rPr>
        <w:t>Ruptiv is a firm and an integrated product. The firm name and the product name are the same. Ruptiv is organized as four layers.</w:t>
      </w:r>
    </w:p>
    <w:p w14:paraId="4708B781" w14:textId="77777777" w:rsidR="006755EC" w:rsidRDefault="001B2695">
      <w:pPr>
        <w:spacing w:before="160"/>
        <w:rPr>
          <w:rFonts w:hint="eastAsia"/>
        </w:rPr>
      </w:pPr>
      <w:r>
        <w:rPr>
          <w:b/>
          <w:color w:val="4FC3DC"/>
          <w:spacing w:val="60"/>
          <w:sz w:val="18"/>
        </w:rPr>
        <w:t>LAYER 1: THE CANVAS</w:t>
      </w:r>
    </w:p>
    <w:p w14:paraId="3474B8B0" w14:textId="77777777" w:rsidR="006755EC" w:rsidRDefault="001B2695">
      <w:pPr>
        <w:spacing w:after="200"/>
        <w:rPr>
          <w:rFonts w:hint="eastAsia"/>
        </w:rPr>
      </w:pPr>
      <w:r>
        <w:rPr>
          <w:b/>
        </w:rPr>
        <w:t xml:space="preserve">Ruptiv Atlas View. </w:t>
      </w:r>
      <w:r>
        <w:t>The collaborative medium where humans and agents work together as a single network. Atlas View captures the operating system: zones, teams, roles, decisions, objectives, risks, and agreements. It is where the operating model lives, queryable and editable, after Ruptiv leaves.</w:t>
      </w:r>
    </w:p>
    <w:p w14:paraId="7CDE1632" w14:textId="77777777" w:rsidR="006755EC" w:rsidRDefault="001B2695">
      <w:pPr>
        <w:spacing w:before="80"/>
        <w:rPr>
          <w:rFonts w:hint="eastAsia"/>
        </w:rPr>
      </w:pPr>
      <w:r>
        <w:rPr>
          <w:b/>
          <w:color w:val="4FC3DC"/>
          <w:spacing w:val="60"/>
          <w:sz w:val="18"/>
        </w:rPr>
        <w:t>LAYER 2: THE CAPABILITIES</w:t>
      </w:r>
    </w:p>
    <w:p w14:paraId="6F066955" w14:textId="77777777" w:rsidR="006755EC" w:rsidRDefault="001B2695">
      <w:pPr>
        <w:spacing w:after="120"/>
        <w:rPr>
          <w:rFonts w:hint="eastAsia"/>
        </w:rPr>
      </w:pPr>
      <w:r>
        <w:t>Five capability families plug into the Canvas.</w:t>
      </w:r>
    </w:p>
    <w:tbl>
      <w:tblPr>
        <w:tblW w:w="0" w:type="auto"/>
        <w:tblBorders>
          <w:top w:val="nil"/>
          <w:left w:val="nil"/>
          <w:bottom w:val="nil"/>
          <w:right w:val="nil"/>
          <w:insideH w:val="nil"/>
          <w:insideV w:val="nil"/>
        </w:tblBorders>
        <w:tblLook w:val="04A0" w:firstRow="1" w:lastRow="0" w:firstColumn="1" w:lastColumn="0" w:noHBand="0" w:noVBand="1"/>
      </w:tblPr>
      <w:tblGrid>
        <w:gridCol w:w="2872"/>
        <w:gridCol w:w="7178"/>
      </w:tblGrid>
      <w:tr w:rsidR="006755EC" w14:paraId="2482CFB2"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6403D4BE" w14:textId="77777777" w:rsidR="006755EC" w:rsidRDefault="001B2695">
            <w:pPr>
              <w:spacing w:after="0"/>
              <w:rPr>
                <w:rFonts w:hint="eastAsia"/>
              </w:rPr>
            </w:pPr>
            <w:r>
              <w:rPr>
                <w:b/>
                <w:color w:val="F2C94C"/>
                <w:sz w:val="22"/>
              </w:rPr>
              <w:t>Ruptiv Forge</w:t>
            </w:r>
          </w:p>
        </w:tc>
        <w:tc>
          <w:tcPr>
            <w:tcW w:w="7200" w:type="dxa"/>
            <w:tcBorders>
              <w:top w:val="nil"/>
              <w:left w:val="nil"/>
              <w:bottom w:val="nil"/>
              <w:right w:val="nil"/>
            </w:tcBorders>
            <w:shd w:val="clear" w:color="auto" w:fill="1F2D4A"/>
            <w:tcMar>
              <w:top w:w="120" w:type="dxa"/>
              <w:left w:w="80" w:type="dxa"/>
              <w:bottom w:w="120" w:type="dxa"/>
              <w:right w:w="180" w:type="dxa"/>
            </w:tcMar>
          </w:tcPr>
          <w:p w14:paraId="02056866" w14:textId="77777777" w:rsidR="006755EC" w:rsidRDefault="001B2695">
            <w:pPr>
              <w:spacing w:after="0"/>
              <w:rPr>
                <w:rFonts w:hint="eastAsia"/>
              </w:rPr>
            </w:pPr>
            <w:r>
              <w:rPr>
                <w:sz w:val="19"/>
              </w:rPr>
              <w:t>The production engine. Builds Sparring Partners, code, and specifications from natural-language Role definitions.</w:t>
            </w:r>
          </w:p>
        </w:tc>
      </w:tr>
    </w:tbl>
    <w:p w14:paraId="4966B3D0"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873"/>
        <w:gridCol w:w="7177"/>
      </w:tblGrid>
      <w:tr w:rsidR="006755EC" w14:paraId="3B37D025"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040CFC5F" w14:textId="77777777" w:rsidR="006755EC" w:rsidRDefault="001B2695">
            <w:pPr>
              <w:spacing w:after="0"/>
              <w:rPr>
                <w:rFonts w:hint="eastAsia"/>
              </w:rPr>
            </w:pPr>
            <w:r>
              <w:rPr>
                <w:b/>
                <w:color w:val="F2C94C"/>
                <w:sz w:val="22"/>
              </w:rPr>
              <w:t>Ruptiv Studios</w:t>
            </w:r>
          </w:p>
        </w:tc>
        <w:tc>
          <w:tcPr>
            <w:tcW w:w="7200" w:type="dxa"/>
            <w:tcBorders>
              <w:top w:val="nil"/>
              <w:left w:val="nil"/>
              <w:bottom w:val="nil"/>
              <w:right w:val="nil"/>
            </w:tcBorders>
            <w:shd w:val="clear" w:color="auto" w:fill="1F2D4A"/>
            <w:tcMar>
              <w:top w:w="120" w:type="dxa"/>
              <w:left w:w="80" w:type="dxa"/>
              <w:bottom w:w="120" w:type="dxa"/>
              <w:right w:w="180" w:type="dxa"/>
            </w:tcMar>
          </w:tcPr>
          <w:p w14:paraId="013A78C5" w14:textId="77777777" w:rsidR="006755EC" w:rsidRDefault="001B2695">
            <w:pPr>
              <w:spacing w:after="0"/>
              <w:rPr>
                <w:rFonts w:hint="eastAsia"/>
              </w:rPr>
            </w:pPr>
            <w:r>
              <w:rPr>
                <w:sz w:val="19"/>
              </w:rPr>
              <w:t>Domain-specific capability suites. Ruptiv Retail Studio is first. Ruptiv Finance Studio, Ruptiv Healthcare Studio, and Ruptiv Supply Chain Studio follow.</w:t>
            </w:r>
          </w:p>
        </w:tc>
      </w:tr>
    </w:tbl>
    <w:p w14:paraId="6738E638"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873"/>
        <w:gridCol w:w="7177"/>
      </w:tblGrid>
      <w:tr w:rsidR="006755EC" w14:paraId="356C9686"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0CE4E24A" w14:textId="77777777" w:rsidR="006755EC" w:rsidRDefault="001B2695">
            <w:pPr>
              <w:spacing w:after="0"/>
              <w:rPr>
                <w:rFonts w:hint="eastAsia"/>
              </w:rPr>
            </w:pPr>
            <w:r>
              <w:rPr>
                <w:b/>
                <w:color w:val="F2C94C"/>
                <w:sz w:val="22"/>
              </w:rPr>
              <w:t>Ruptiv Patterns</w:t>
            </w:r>
          </w:p>
        </w:tc>
        <w:tc>
          <w:tcPr>
            <w:tcW w:w="7200" w:type="dxa"/>
            <w:tcBorders>
              <w:top w:val="nil"/>
              <w:left w:val="nil"/>
              <w:bottom w:val="nil"/>
              <w:right w:val="nil"/>
            </w:tcBorders>
            <w:shd w:val="clear" w:color="auto" w:fill="1F2D4A"/>
            <w:tcMar>
              <w:top w:w="120" w:type="dxa"/>
              <w:left w:w="80" w:type="dxa"/>
              <w:bottom w:w="120" w:type="dxa"/>
              <w:right w:w="180" w:type="dxa"/>
            </w:tcMar>
          </w:tcPr>
          <w:p w14:paraId="43C9F298" w14:textId="77777777" w:rsidR="006755EC" w:rsidRDefault="001B2695">
            <w:pPr>
              <w:spacing w:after="0"/>
              <w:rPr>
                <w:rFonts w:hint="eastAsia"/>
              </w:rPr>
            </w:pPr>
            <w:r>
              <w:rPr>
                <w:sz w:val="19"/>
              </w:rPr>
              <w:t>The library of reusable structural building blocks. Org-structure patterns, team patterns, standard roles. Templates Ruptiv uses to build.</w:t>
            </w:r>
          </w:p>
        </w:tc>
      </w:tr>
    </w:tbl>
    <w:p w14:paraId="21D75C56"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872"/>
        <w:gridCol w:w="7178"/>
      </w:tblGrid>
      <w:tr w:rsidR="006755EC" w14:paraId="31659667"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5DFE17EC" w14:textId="77777777" w:rsidR="006755EC" w:rsidRDefault="001B2695">
            <w:pPr>
              <w:spacing w:after="0"/>
              <w:rPr>
                <w:rFonts w:hint="eastAsia"/>
              </w:rPr>
            </w:pPr>
            <w:r>
              <w:rPr>
                <w:b/>
                <w:color w:val="F2C94C"/>
                <w:sz w:val="22"/>
              </w:rPr>
              <w:t>Ruptiv Lenses</w:t>
            </w:r>
          </w:p>
        </w:tc>
        <w:tc>
          <w:tcPr>
            <w:tcW w:w="7200" w:type="dxa"/>
            <w:tcBorders>
              <w:top w:val="nil"/>
              <w:left w:val="nil"/>
              <w:bottom w:val="nil"/>
              <w:right w:val="nil"/>
            </w:tcBorders>
            <w:shd w:val="clear" w:color="auto" w:fill="1F2D4A"/>
            <w:tcMar>
              <w:top w:w="120" w:type="dxa"/>
              <w:left w:w="80" w:type="dxa"/>
              <w:bottom w:w="120" w:type="dxa"/>
              <w:right w:w="180" w:type="dxa"/>
            </w:tcMar>
          </w:tcPr>
          <w:p w14:paraId="77E899EA" w14:textId="77777777" w:rsidR="006755EC" w:rsidRDefault="001B2695">
            <w:pPr>
              <w:spacing w:after="0"/>
              <w:rPr>
                <w:rFonts w:hint="eastAsia"/>
              </w:rPr>
            </w:pPr>
            <w:r>
              <w:rPr>
                <w:sz w:val="19"/>
              </w:rPr>
              <w:t>The library of diagnostic instruments. The Responsive Lens is central, complemented by the VSM Lens and the Leadership Architecture Lens.</w:t>
            </w:r>
          </w:p>
        </w:tc>
      </w:tr>
    </w:tbl>
    <w:p w14:paraId="2147B294"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873"/>
        <w:gridCol w:w="7177"/>
      </w:tblGrid>
      <w:tr w:rsidR="006755EC" w14:paraId="555F37ED"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569AA457" w14:textId="77777777" w:rsidR="006755EC" w:rsidRDefault="001B2695">
            <w:pPr>
              <w:spacing w:after="0"/>
              <w:rPr>
                <w:rFonts w:hint="eastAsia"/>
              </w:rPr>
            </w:pPr>
            <w:r>
              <w:rPr>
                <w:b/>
                <w:color w:val="F2C94C"/>
                <w:sz w:val="22"/>
              </w:rPr>
              <w:t>Ruptiv Sparring Partners</w:t>
            </w:r>
          </w:p>
        </w:tc>
        <w:tc>
          <w:tcPr>
            <w:tcW w:w="7200" w:type="dxa"/>
            <w:tcBorders>
              <w:top w:val="nil"/>
              <w:left w:val="nil"/>
              <w:bottom w:val="nil"/>
              <w:right w:val="nil"/>
            </w:tcBorders>
            <w:shd w:val="clear" w:color="auto" w:fill="1F2D4A"/>
            <w:tcMar>
              <w:top w:w="120" w:type="dxa"/>
              <w:left w:w="80" w:type="dxa"/>
              <w:bottom w:w="120" w:type="dxa"/>
              <w:right w:w="180" w:type="dxa"/>
            </w:tcMar>
          </w:tcPr>
          <w:p w14:paraId="059F8FE0" w14:textId="77777777" w:rsidR="006755EC" w:rsidRDefault="001B2695">
            <w:pPr>
              <w:spacing w:after="0"/>
              <w:rPr>
                <w:rFonts w:hint="eastAsia"/>
              </w:rPr>
            </w:pPr>
            <w:r>
              <w:rPr>
                <w:sz w:val="19"/>
              </w:rPr>
              <w:t>The named, persistent set of agentic actors Ruptiv builds, maintains, and deploys. Sparring Partners hold Roles. They challenge, surface blind spots, and provide contrastive reasoning.</w:t>
            </w:r>
          </w:p>
        </w:tc>
      </w:tr>
    </w:tbl>
    <w:p w14:paraId="40F157BD" w14:textId="77777777" w:rsidR="006755EC" w:rsidRDefault="006755EC">
      <w:pPr>
        <w:spacing w:after="40"/>
        <w:rPr>
          <w:rFonts w:hint="eastAsia"/>
        </w:rPr>
      </w:pPr>
    </w:p>
    <w:p w14:paraId="05BFC2EF"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6C1904BB" w14:textId="77777777">
        <w:tc>
          <w:tcPr>
            <w:tcW w:w="8640" w:type="dxa"/>
            <w:tcBorders>
              <w:top w:val="nil"/>
              <w:left w:val="nil"/>
              <w:bottom w:val="nil"/>
              <w:right w:val="nil"/>
            </w:tcBorders>
            <w:tcMar>
              <w:top w:w="0" w:type="dxa"/>
              <w:left w:w="0" w:type="dxa"/>
              <w:bottom w:w="40" w:type="dxa"/>
              <w:right w:w="0" w:type="dxa"/>
            </w:tcMar>
          </w:tcPr>
          <w:p w14:paraId="28A5F310" w14:textId="77777777" w:rsidR="006755EC" w:rsidRDefault="001B2695">
            <w:pPr>
              <w:spacing w:after="0"/>
              <w:rPr>
                <w:rFonts w:hint="eastAsia"/>
              </w:rPr>
            </w:pPr>
            <w:r>
              <w:rPr>
                <w:b/>
                <w:color w:val="888780"/>
                <w:spacing w:val="60"/>
                <w:sz w:val="18"/>
              </w:rPr>
              <w:lastRenderedPageBreak/>
              <w:t>PAGE 05 / SPARRING PARTNERS AND METHOD</w:t>
            </w:r>
          </w:p>
        </w:tc>
        <w:tc>
          <w:tcPr>
            <w:tcW w:w="1440" w:type="dxa"/>
            <w:tcBorders>
              <w:top w:val="nil"/>
              <w:left w:val="nil"/>
              <w:bottom w:val="nil"/>
              <w:right w:val="nil"/>
            </w:tcBorders>
            <w:tcMar>
              <w:top w:w="0" w:type="dxa"/>
              <w:left w:w="0" w:type="dxa"/>
              <w:bottom w:w="40" w:type="dxa"/>
              <w:right w:w="0" w:type="dxa"/>
            </w:tcMar>
          </w:tcPr>
          <w:p w14:paraId="016A750C" w14:textId="77777777" w:rsidR="006755EC" w:rsidRDefault="001B2695">
            <w:pPr>
              <w:spacing w:after="0"/>
              <w:jc w:val="right"/>
              <w:rPr>
                <w:rFonts w:hint="eastAsia"/>
              </w:rPr>
            </w:pPr>
            <w:r>
              <w:rPr>
                <w:color w:val="888780"/>
                <w:sz w:val="18"/>
              </w:rPr>
              <w:t>06</w:t>
            </w:r>
          </w:p>
        </w:tc>
      </w:tr>
    </w:tbl>
    <w:p w14:paraId="16D75CB1" w14:textId="77777777" w:rsidR="006755EC" w:rsidRDefault="001B2695">
      <w:pPr>
        <w:pBdr>
          <w:bottom w:val="single" w:sz="4" w:space="1" w:color="1F2D4A"/>
        </w:pBdr>
        <w:spacing w:after="240"/>
        <w:rPr>
          <w:rFonts w:hint="eastAsia"/>
        </w:rPr>
      </w:pPr>
      <w:r>
        <w:t xml:space="preserve"> </w:t>
      </w:r>
    </w:p>
    <w:p w14:paraId="5F0BC0C0" w14:textId="77777777" w:rsidR="006755EC" w:rsidRDefault="001B2695">
      <w:pPr>
        <w:spacing w:after="120"/>
        <w:rPr>
          <w:rFonts w:hint="eastAsia"/>
        </w:rPr>
      </w:pPr>
      <w:r>
        <w:rPr>
          <w:b/>
          <w:color w:val="4FC3DC"/>
          <w:spacing w:val="60"/>
          <w:sz w:val="18"/>
        </w:rPr>
        <w:t>THE FOUR FLAGSHIP STANDING SPARRING PARTNERS</w:t>
      </w:r>
    </w:p>
    <w:tbl>
      <w:tblPr>
        <w:tblW w:w="0" w:type="auto"/>
        <w:tblBorders>
          <w:top w:val="nil"/>
          <w:left w:val="nil"/>
          <w:bottom w:val="nil"/>
          <w:right w:val="nil"/>
          <w:insideH w:val="nil"/>
          <w:insideV w:val="nil"/>
        </w:tblBorders>
        <w:tblLook w:val="04A0" w:firstRow="1" w:lastRow="0" w:firstColumn="1" w:lastColumn="0" w:noHBand="0" w:noVBand="1"/>
      </w:tblPr>
      <w:tblGrid>
        <w:gridCol w:w="2011"/>
        <w:gridCol w:w="2442"/>
        <w:gridCol w:w="5597"/>
      </w:tblGrid>
      <w:tr w:rsidR="006755EC" w14:paraId="7F1893FF" w14:textId="77777777">
        <w:tc>
          <w:tcPr>
            <w:tcW w:w="2016" w:type="dxa"/>
            <w:tcBorders>
              <w:top w:val="nil"/>
              <w:left w:val="single" w:sz="24" w:space="0" w:color="F2C94C"/>
              <w:bottom w:val="nil"/>
              <w:right w:val="nil"/>
            </w:tcBorders>
            <w:shd w:val="clear" w:color="auto" w:fill="1F2D4A"/>
            <w:tcMar>
              <w:top w:w="120" w:type="dxa"/>
              <w:left w:w="180" w:type="dxa"/>
              <w:bottom w:w="120" w:type="dxa"/>
              <w:right w:w="60" w:type="dxa"/>
            </w:tcMar>
          </w:tcPr>
          <w:p w14:paraId="60EE6668" w14:textId="77777777" w:rsidR="006755EC" w:rsidRDefault="001B2695">
            <w:pPr>
              <w:spacing w:after="0"/>
              <w:rPr>
                <w:rFonts w:hint="eastAsia"/>
              </w:rPr>
            </w:pPr>
            <w:r>
              <w:rPr>
                <w:b/>
                <w:color w:val="F2C94C"/>
                <w:sz w:val="22"/>
              </w:rPr>
              <w:t>Reveal</w:t>
            </w:r>
          </w:p>
        </w:tc>
        <w:tc>
          <w:tcPr>
            <w:tcW w:w="2448" w:type="dxa"/>
            <w:tcBorders>
              <w:top w:val="nil"/>
              <w:left w:val="nil"/>
              <w:bottom w:val="nil"/>
              <w:right w:val="nil"/>
            </w:tcBorders>
            <w:shd w:val="clear" w:color="auto" w:fill="1F2D4A"/>
            <w:tcMar>
              <w:top w:w="120" w:type="dxa"/>
              <w:left w:w="60" w:type="dxa"/>
              <w:bottom w:w="120" w:type="dxa"/>
              <w:right w:w="60" w:type="dxa"/>
            </w:tcMar>
          </w:tcPr>
          <w:p w14:paraId="34DB89C2" w14:textId="77777777" w:rsidR="006755EC" w:rsidRDefault="001B2695">
            <w:pPr>
              <w:spacing w:after="0"/>
              <w:rPr>
                <w:rFonts w:hint="eastAsia"/>
              </w:rPr>
            </w:pPr>
            <w:r>
              <w:rPr>
                <w:color w:val="4FC3DC"/>
                <w:sz w:val="18"/>
              </w:rPr>
              <w:t>Diagnostic Listening System</w:t>
            </w:r>
          </w:p>
        </w:tc>
        <w:tc>
          <w:tcPr>
            <w:tcW w:w="5616" w:type="dxa"/>
            <w:tcBorders>
              <w:top w:val="nil"/>
              <w:left w:val="nil"/>
              <w:bottom w:val="nil"/>
              <w:right w:val="nil"/>
            </w:tcBorders>
            <w:shd w:val="clear" w:color="auto" w:fill="1F2D4A"/>
            <w:tcMar>
              <w:top w:w="120" w:type="dxa"/>
              <w:left w:w="60" w:type="dxa"/>
              <w:bottom w:w="120" w:type="dxa"/>
              <w:right w:w="180" w:type="dxa"/>
            </w:tcMar>
          </w:tcPr>
          <w:p w14:paraId="6540B97B" w14:textId="77777777" w:rsidR="006755EC" w:rsidRDefault="001B2695">
            <w:pPr>
              <w:spacing w:after="0"/>
              <w:rPr>
                <w:rFonts w:hint="eastAsia"/>
              </w:rPr>
            </w:pPr>
            <w:r>
              <w:rPr>
                <w:sz w:val="19"/>
              </w:rPr>
              <w:t>Captures the implicit operating network as explicit Atlas View structure.</w:t>
            </w:r>
          </w:p>
        </w:tc>
      </w:tr>
    </w:tbl>
    <w:p w14:paraId="6CF2A88D"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012"/>
        <w:gridCol w:w="2441"/>
        <w:gridCol w:w="5597"/>
      </w:tblGrid>
      <w:tr w:rsidR="006755EC" w14:paraId="2700044A" w14:textId="77777777">
        <w:tc>
          <w:tcPr>
            <w:tcW w:w="2016" w:type="dxa"/>
            <w:tcBorders>
              <w:top w:val="nil"/>
              <w:left w:val="single" w:sz="24" w:space="0" w:color="F2C94C"/>
              <w:bottom w:val="nil"/>
              <w:right w:val="nil"/>
            </w:tcBorders>
            <w:shd w:val="clear" w:color="auto" w:fill="1F2D4A"/>
            <w:tcMar>
              <w:top w:w="120" w:type="dxa"/>
              <w:left w:w="180" w:type="dxa"/>
              <w:bottom w:w="120" w:type="dxa"/>
              <w:right w:w="60" w:type="dxa"/>
            </w:tcMar>
          </w:tcPr>
          <w:p w14:paraId="3439206F" w14:textId="77777777" w:rsidR="006755EC" w:rsidRDefault="001B2695">
            <w:pPr>
              <w:spacing w:after="0"/>
              <w:rPr>
                <w:rFonts w:hint="eastAsia"/>
              </w:rPr>
            </w:pPr>
            <w:r>
              <w:rPr>
                <w:b/>
                <w:color w:val="F2C94C"/>
                <w:sz w:val="22"/>
              </w:rPr>
              <w:t>Socratic</w:t>
            </w:r>
          </w:p>
        </w:tc>
        <w:tc>
          <w:tcPr>
            <w:tcW w:w="2448" w:type="dxa"/>
            <w:tcBorders>
              <w:top w:val="nil"/>
              <w:left w:val="nil"/>
              <w:bottom w:val="nil"/>
              <w:right w:val="nil"/>
            </w:tcBorders>
            <w:shd w:val="clear" w:color="auto" w:fill="1F2D4A"/>
            <w:tcMar>
              <w:top w:w="120" w:type="dxa"/>
              <w:left w:w="60" w:type="dxa"/>
              <w:bottom w:w="120" w:type="dxa"/>
              <w:right w:w="60" w:type="dxa"/>
            </w:tcMar>
          </w:tcPr>
          <w:p w14:paraId="0E9E1BDE" w14:textId="77777777" w:rsidR="006755EC" w:rsidRDefault="001B2695">
            <w:pPr>
              <w:spacing w:after="0"/>
              <w:rPr>
                <w:rFonts w:hint="eastAsia"/>
              </w:rPr>
            </w:pPr>
            <w:r>
              <w:rPr>
                <w:color w:val="4FC3DC"/>
                <w:sz w:val="18"/>
              </w:rPr>
              <w:t>Diagnostic Listening System</w:t>
            </w:r>
          </w:p>
        </w:tc>
        <w:tc>
          <w:tcPr>
            <w:tcW w:w="5616" w:type="dxa"/>
            <w:tcBorders>
              <w:top w:val="nil"/>
              <w:left w:val="nil"/>
              <w:bottom w:val="nil"/>
              <w:right w:val="nil"/>
            </w:tcBorders>
            <w:shd w:val="clear" w:color="auto" w:fill="1F2D4A"/>
            <w:tcMar>
              <w:top w:w="120" w:type="dxa"/>
              <w:left w:w="60" w:type="dxa"/>
              <w:bottom w:w="120" w:type="dxa"/>
              <w:right w:w="180" w:type="dxa"/>
            </w:tcMar>
          </w:tcPr>
          <w:p w14:paraId="629FC972" w14:textId="77777777" w:rsidR="006755EC" w:rsidRDefault="001B2695">
            <w:pPr>
              <w:spacing w:after="0"/>
              <w:rPr>
                <w:rFonts w:hint="eastAsia"/>
              </w:rPr>
            </w:pPr>
            <w:r>
              <w:rPr>
                <w:sz w:val="19"/>
              </w:rPr>
              <w:t>Surfaces the load-bearing assumptions the organization has been operating under.</w:t>
            </w:r>
          </w:p>
        </w:tc>
      </w:tr>
    </w:tbl>
    <w:p w14:paraId="46B1579C"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012"/>
        <w:gridCol w:w="2442"/>
        <w:gridCol w:w="5596"/>
      </w:tblGrid>
      <w:tr w:rsidR="006755EC" w14:paraId="7A5ABF28" w14:textId="77777777">
        <w:tc>
          <w:tcPr>
            <w:tcW w:w="2016" w:type="dxa"/>
            <w:tcBorders>
              <w:top w:val="nil"/>
              <w:left w:val="single" w:sz="24" w:space="0" w:color="F2C94C"/>
              <w:bottom w:val="nil"/>
              <w:right w:val="nil"/>
            </w:tcBorders>
            <w:shd w:val="clear" w:color="auto" w:fill="1F2D4A"/>
            <w:tcMar>
              <w:top w:w="120" w:type="dxa"/>
              <w:left w:w="180" w:type="dxa"/>
              <w:bottom w:w="120" w:type="dxa"/>
              <w:right w:w="60" w:type="dxa"/>
            </w:tcMar>
          </w:tcPr>
          <w:p w14:paraId="1C7AD583" w14:textId="77777777" w:rsidR="006755EC" w:rsidRDefault="001B2695">
            <w:pPr>
              <w:spacing w:after="0"/>
              <w:rPr>
                <w:rFonts w:hint="eastAsia"/>
              </w:rPr>
            </w:pPr>
            <w:r>
              <w:rPr>
                <w:b/>
                <w:color w:val="F2C94C"/>
                <w:sz w:val="22"/>
              </w:rPr>
              <w:t>Pattern</w:t>
            </w:r>
          </w:p>
        </w:tc>
        <w:tc>
          <w:tcPr>
            <w:tcW w:w="2448" w:type="dxa"/>
            <w:tcBorders>
              <w:top w:val="nil"/>
              <w:left w:val="nil"/>
              <w:bottom w:val="nil"/>
              <w:right w:val="nil"/>
            </w:tcBorders>
            <w:shd w:val="clear" w:color="auto" w:fill="1F2D4A"/>
            <w:tcMar>
              <w:top w:w="120" w:type="dxa"/>
              <w:left w:w="60" w:type="dxa"/>
              <w:bottom w:w="120" w:type="dxa"/>
              <w:right w:w="60" w:type="dxa"/>
            </w:tcMar>
          </w:tcPr>
          <w:p w14:paraId="2F5DD443" w14:textId="77777777" w:rsidR="006755EC" w:rsidRDefault="001B2695">
            <w:pPr>
              <w:spacing w:after="0"/>
              <w:rPr>
                <w:rFonts w:hint="eastAsia"/>
              </w:rPr>
            </w:pPr>
            <w:r>
              <w:rPr>
                <w:color w:val="4FC3DC"/>
                <w:sz w:val="18"/>
              </w:rPr>
              <w:t>Engagement Listening System</w:t>
            </w:r>
          </w:p>
        </w:tc>
        <w:tc>
          <w:tcPr>
            <w:tcW w:w="5616" w:type="dxa"/>
            <w:tcBorders>
              <w:top w:val="nil"/>
              <w:left w:val="nil"/>
              <w:bottom w:val="nil"/>
              <w:right w:val="nil"/>
            </w:tcBorders>
            <w:shd w:val="clear" w:color="auto" w:fill="1F2D4A"/>
            <w:tcMar>
              <w:top w:w="120" w:type="dxa"/>
              <w:left w:w="60" w:type="dxa"/>
              <w:bottom w:w="120" w:type="dxa"/>
              <w:right w:w="180" w:type="dxa"/>
            </w:tcMar>
          </w:tcPr>
          <w:p w14:paraId="3DA4E7BB" w14:textId="77777777" w:rsidR="006755EC" w:rsidRDefault="001B2695">
            <w:pPr>
              <w:spacing w:after="0"/>
              <w:rPr>
                <w:rFonts w:hint="eastAsia"/>
              </w:rPr>
            </w:pPr>
            <w:r>
              <w:rPr>
                <w:sz w:val="19"/>
              </w:rPr>
              <w:t>Proposes structural moves grounded in the Patterns library.</w:t>
            </w:r>
          </w:p>
        </w:tc>
      </w:tr>
    </w:tbl>
    <w:p w14:paraId="066453A7"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012"/>
        <w:gridCol w:w="2441"/>
        <w:gridCol w:w="5597"/>
      </w:tblGrid>
      <w:tr w:rsidR="006755EC" w14:paraId="1648E404" w14:textId="77777777">
        <w:tc>
          <w:tcPr>
            <w:tcW w:w="2016" w:type="dxa"/>
            <w:tcBorders>
              <w:top w:val="nil"/>
              <w:left w:val="single" w:sz="24" w:space="0" w:color="F2C94C"/>
              <w:bottom w:val="nil"/>
              <w:right w:val="nil"/>
            </w:tcBorders>
            <w:shd w:val="clear" w:color="auto" w:fill="1F2D4A"/>
            <w:tcMar>
              <w:top w:w="120" w:type="dxa"/>
              <w:left w:w="180" w:type="dxa"/>
              <w:bottom w:w="120" w:type="dxa"/>
              <w:right w:w="60" w:type="dxa"/>
            </w:tcMar>
          </w:tcPr>
          <w:p w14:paraId="51E9D35B" w14:textId="77777777" w:rsidR="006755EC" w:rsidRDefault="001B2695">
            <w:pPr>
              <w:spacing w:after="0"/>
              <w:rPr>
                <w:rFonts w:hint="eastAsia"/>
              </w:rPr>
            </w:pPr>
            <w:r>
              <w:rPr>
                <w:b/>
                <w:color w:val="F2C94C"/>
                <w:sz w:val="22"/>
              </w:rPr>
              <w:t>Monitor</w:t>
            </w:r>
          </w:p>
        </w:tc>
        <w:tc>
          <w:tcPr>
            <w:tcW w:w="2448" w:type="dxa"/>
            <w:tcBorders>
              <w:top w:val="nil"/>
              <w:left w:val="nil"/>
              <w:bottom w:val="nil"/>
              <w:right w:val="nil"/>
            </w:tcBorders>
            <w:shd w:val="clear" w:color="auto" w:fill="1F2D4A"/>
            <w:tcMar>
              <w:top w:w="120" w:type="dxa"/>
              <w:left w:w="60" w:type="dxa"/>
              <w:bottom w:w="120" w:type="dxa"/>
              <w:right w:w="60" w:type="dxa"/>
            </w:tcMar>
          </w:tcPr>
          <w:p w14:paraId="125E31EA" w14:textId="77777777" w:rsidR="006755EC" w:rsidRDefault="001B2695">
            <w:pPr>
              <w:spacing w:after="0"/>
              <w:rPr>
                <w:rFonts w:hint="eastAsia"/>
              </w:rPr>
            </w:pPr>
            <w:r>
              <w:rPr>
                <w:color w:val="4FC3DC"/>
                <w:sz w:val="18"/>
              </w:rPr>
              <w:t>Operating Listening System</w:t>
            </w:r>
          </w:p>
        </w:tc>
        <w:tc>
          <w:tcPr>
            <w:tcW w:w="5616" w:type="dxa"/>
            <w:tcBorders>
              <w:top w:val="nil"/>
              <w:left w:val="nil"/>
              <w:bottom w:val="nil"/>
              <w:right w:val="nil"/>
            </w:tcBorders>
            <w:shd w:val="clear" w:color="auto" w:fill="1F2D4A"/>
            <w:tcMar>
              <w:top w:w="120" w:type="dxa"/>
              <w:left w:w="60" w:type="dxa"/>
              <w:bottom w:w="120" w:type="dxa"/>
              <w:right w:w="180" w:type="dxa"/>
            </w:tcMar>
          </w:tcPr>
          <w:p w14:paraId="42AD880B" w14:textId="77777777" w:rsidR="006755EC" w:rsidRDefault="001B2695">
            <w:pPr>
              <w:spacing w:after="0"/>
              <w:rPr>
                <w:rFonts w:hint="eastAsia"/>
              </w:rPr>
            </w:pPr>
            <w:r>
              <w:rPr>
                <w:sz w:val="19"/>
              </w:rPr>
              <w:t>Watches the running operating network and surfaces drift before it becomes failure.</w:t>
            </w:r>
          </w:p>
        </w:tc>
      </w:tr>
    </w:tbl>
    <w:p w14:paraId="05603503" w14:textId="77777777" w:rsidR="006755EC" w:rsidRDefault="006755EC">
      <w:pPr>
        <w:spacing w:after="40"/>
        <w:rPr>
          <w:rFonts w:hint="eastAsia"/>
        </w:rPr>
      </w:pPr>
    </w:p>
    <w:p w14:paraId="56DE7979" w14:textId="77777777" w:rsidR="006755EC" w:rsidRDefault="001B2695">
      <w:pPr>
        <w:spacing w:after="240"/>
        <w:rPr>
          <w:rFonts w:hint="eastAsia"/>
        </w:rPr>
      </w:pPr>
      <w:r>
        <w:rPr>
          <w:i/>
          <w:color w:val="888780"/>
          <w:sz w:val="19"/>
        </w:rPr>
        <w:t>Custom Sparring Partners are built per engagement. Some graduate into the Standing roster.</w:t>
      </w:r>
    </w:p>
    <w:p w14:paraId="2FE6F871" w14:textId="77777777" w:rsidR="006755EC" w:rsidRDefault="001B2695">
      <w:pPr>
        <w:spacing w:before="80"/>
        <w:rPr>
          <w:rFonts w:hint="eastAsia"/>
        </w:rPr>
      </w:pPr>
      <w:r>
        <w:rPr>
          <w:b/>
          <w:color w:val="4FC3DC"/>
          <w:spacing w:val="60"/>
          <w:sz w:val="18"/>
        </w:rPr>
        <w:t>LAYER 3: THE METHOD</w:t>
      </w:r>
    </w:p>
    <w:p w14:paraId="4AD5C697" w14:textId="77777777" w:rsidR="006755EC" w:rsidRDefault="001B2695">
      <w:pPr>
        <w:spacing w:after="160"/>
        <w:rPr>
          <w:rFonts w:hint="eastAsia"/>
        </w:rPr>
      </w:pPr>
      <w:r>
        <w:rPr>
          <w:b/>
        </w:rPr>
        <w:t xml:space="preserve">The Ruptiv Method. </w:t>
      </w:r>
      <w:r>
        <w:t xml:space="preserve">The umbrella under which two structures live. </w:t>
      </w:r>
      <w:r>
        <w:rPr>
          <w:b/>
        </w:rPr>
        <w:t xml:space="preserve">The Five-D System </w:t>
      </w:r>
      <w:r>
        <w:t xml:space="preserve">is the engagement vocabulary. Five verbs in sequence: Diagnose, Design, Deploy, Document, Distribute. </w:t>
      </w:r>
      <w:r>
        <w:rPr>
          <w:b/>
        </w:rPr>
        <w:t xml:space="preserve">The Three Listening Systems </w:t>
      </w:r>
      <w:r>
        <w:t>are what Ruptiv installs. Each listens to something specific.</w:t>
      </w:r>
    </w:p>
    <w:tbl>
      <w:tblPr>
        <w:tblW w:w="0" w:type="auto"/>
        <w:tblBorders>
          <w:top w:val="nil"/>
          <w:left w:val="nil"/>
          <w:bottom w:val="nil"/>
          <w:right w:val="nil"/>
          <w:insideH w:val="nil"/>
          <w:insideV w:val="nil"/>
        </w:tblBorders>
        <w:tblLook w:val="04A0" w:firstRow="1" w:lastRow="0" w:firstColumn="1" w:lastColumn="0" w:noHBand="0" w:noVBand="1"/>
      </w:tblPr>
      <w:tblGrid>
        <w:gridCol w:w="2013"/>
        <w:gridCol w:w="2442"/>
        <w:gridCol w:w="5595"/>
      </w:tblGrid>
      <w:tr w:rsidR="006755EC" w14:paraId="1E655A53" w14:textId="77777777">
        <w:tc>
          <w:tcPr>
            <w:tcW w:w="2016" w:type="dxa"/>
            <w:tcBorders>
              <w:top w:val="nil"/>
              <w:left w:val="single" w:sz="24" w:space="0" w:color="F2C94C"/>
              <w:bottom w:val="nil"/>
              <w:right w:val="nil"/>
            </w:tcBorders>
            <w:shd w:val="clear" w:color="auto" w:fill="1F2D4A"/>
            <w:tcMar>
              <w:top w:w="120" w:type="dxa"/>
              <w:left w:w="180" w:type="dxa"/>
              <w:bottom w:w="120" w:type="dxa"/>
              <w:right w:w="60" w:type="dxa"/>
            </w:tcMar>
          </w:tcPr>
          <w:p w14:paraId="063069E6" w14:textId="77777777" w:rsidR="006755EC" w:rsidRDefault="001B2695">
            <w:pPr>
              <w:spacing w:after="0"/>
              <w:rPr>
                <w:rFonts w:hint="eastAsia"/>
              </w:rPr>
            </w:pPr>
            <w:r>
              <w:rPr>
                <w:b/>
                <w:color w:val="F2C94C"/>
                <w:sz w:val="22"/>
              </w:rPr>
              <w:t>Diagnostic</w:t>
            </w:r>
          </w:p>
        </w:tc>
        <w:tc>
          <w:tcPr>
            <w:tcW w:w="2448" w:type="dxa"/>
            <w:tcBorders>
              <w:top w:val="nil"/>
              <w:left w:val="nil"/>
              <w:bottom w:val="nil"/>
              <w:right w:val="nil"/>
            </w:tcBorders>
            <w:shd w:val="clear" w:color="auto" w:fill="1F2D4A"/>
            <w:tcMar>
              <w:top w:w="120" w:type="dxa"/>
              <w:left w:w="60" w:type="dxa"/>
              <w:bottom w:w="120" w:type="dxa"/>
              <w:right w:w="60" w:type="dxa"/>
            </w:tcMar>
          </w:tcPr>
          <w:p w14:paraId="0A5B4445" w14:textId="77777777" w:rsidR="006755EC" w:rsidRDefault="001B2695">
            <w:pPr>
              <w:spacing w:after="0"/>
              <w:rPr>
                <w:rFonts w:hint="eastAsia"/>
              </w:rPr>
            </w:pPr>
            <w:r>
              <w:rPr>
                <w:color w:val="4FC3DC"/>
                <w:sz w:val="18"/>
              </w:rPr>
              <w:t>Listens to the organization</w:t>
            </w:r>
          </w:p>
        </w:tc>
        <w:tc>
          <w:tcPr>
            <w:tcW w:w="5616" w:type="dxa"/>
            <w:tcBorders>
              <w:top w:val="nil"/>
              <w:left w:val="nil"/>
              <w:bottom w:val="nil"/>
              <w:right w:val="nil"/>
            </w:tcBorders>
            <w:shd w:val="clear" w:color="auto" w:fill="1F2D4A"/>
            <w:tcMar>
              <w:top w:w="120" w:type="dxa"/>
              <w:left w:w="60" w:type="dxa"/>
              <w:bottom w:w="120" w:type="dxa"/>
              <w:right w:w="180" w:type="dxa"/>
            </w:tcMar>
          </w:tcPr>
          <w:p w14:paraId="6A56C8E1" w14:textId="77777777" w:rsidR="006755EC" w:rsidRDefault="001B2695">
            <w:pPr>
              <w:spacing w:after="0"/>
              <w:rPr>
                <w:rFonts w:hint="eastAsia"/>
              </w:rPr>
            </w:pPr>
            <w:r>
              <w:rPr>
                <w:sz w:val="19"/>
              </w:rPr>
              <w:t>Produces a populated Atlas View instance, a Gap Report, a Reframe Document.</w:t>
            </w:r>
          </w:p>
        </w:tc>
      </w:tr>
    </w:tbl>
    <w:p w14:paraId="3146DBEC"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014"/>
        <w:gridCol w:w="2442"/>
        <w:gridCol w:w="5594"/>
      </w:tblGrid>
      <w:tr w:rsidR="006755EC" w14:paraId="24832923" w14:textId="77777777">
        <w:tc>
          <w:tcPr>
            <w:tcW w:w="2016" w:type="dxa"/>
            <w:tcBorders>
              <w:top w:val="nil"/>
              <w:left w:val="single" w:sz="24" w:space="0" w:color="F2C94C"/>
              <w:bottom w:val="nil"/>
              <w:right w:val="nil"/>
            </w:tcBorders>
            <w:shd w:val="clear" w:color="auto" w:fill="1F2D4A"/>
            <w:tcMar>
              <w:top w:w="120" w:type="dxa"/>
              <w:left w:w="180" w:type="dxa"/>
              <w:bottom w:w="120" w:type="dxa"/>
              <w:right w:w="60" w:type="dxa"/>
            </w:tcMar>
          </w:tcPr>
          <w:p w14:paraId="066FC84D" w14:textId="77777777" w:rsidR="006755EC" w:rsidRDefault="001B2695">
            <w:pPr>
              <w:spacing w:after="0"/>
              <w:rPr>
                <w:rFonts w:hint="eastAsia"/>
              </w:rPr>
            </w:pPr>
            <w:r>
              <w:rPr>
                <w:b/>
                <w:color w:val="F2C94C"/>
                <w:sz w:val="22"/>
              </w:rPr>
              <w:t>Engagement</w:t>
            </w:r>
          </w:p>
        </w:tc>
        <w:tc>
          <w:tcPr>
            <w:tcW w:w="2448" w:type="dxa"/>
            <w:tcBorders>
              <w:top w:val="nil"/>
              <w:left w:val="nil"/>
              <w:bottom w:val="nil"/>
              <w:right w:val="nil"/>
            </w:tcBorders>
            <w:shd w:val="clear" w:color="auto" w:fill="1F2D4A"/>
            <w:tcMar>
              <w:top w:w="120" w:type="dxa"/>
              <w:left w:w="60" w:type="dxa"/>
              <w:bottom w:w="120" w:type="dxa"/>
              <w:right w:w="60" w:type="dxa"/>
            </w:tcMar>
          </w:tcPr>
          <w:p w14:paraId="0963E41A" w14:textId="77777777" w:rsidR="006755EC" w:rsidRDefault="001B2695">
            <w:pPr>
              <w:spacing w:after="0"/>
              <w:rPr>
                <w:rFonts w:hint="eastAsia"/>
              </w:rPr>
            </w:pPr>
            <w:r>
              <w:rPr>
                <w:color w:val="4FC3DC"/>
                <w:sz w:val="18"/>
              </w:rPr>
              <w:t>Listens to the transformation</w:t>
            </w:r>
          </w:p>
        </w:tc>
        <w:tc>
          <w:tcPr>
            <w:tcW w:w="5616" w:type="dxa"/>
            <w:tcBorders>
              <w:top w:val="nil"/>
              <w:left w:val="nil"/>
              <w:bottom w:val="nil"/>
              <w:right w:val="nil"/>
            </w:tcBorders>
            <w:shd w:val="clear" w:color="auto" w:fill="1F2D4A"/>
            <w:tcMar>
              <w:top w:w="120" w:type="dxa"/>
              <w:left w:w="60" w:type="dxa"/>
              <w:bottom w:w="120" w:type="dxa"/>
              <w:right w:w="180" w:type="dxa"/>
            </w:tcMar>
          </w:tcPr>
          <w:p w14:paraId="583280C7" w14:textId="77777777" w:rsidR="006755EC" w:rsidRDefault="001B2695">
            <w:pPr>
              <w:spacing w:after="0"/>
              <w:rPr>
                <w:rFonts w:hint="eastAsia"/>
              </w:rPr>
            </w:pPr>
            <w:r>
              <w:rPr>
                <w:sz w:val="19"/>
              </w:rPr>
              <w:t>Produces Reset Zone and Team definitions, recomposed Roles, reinvented end-to-end processes operating in production.</w:t>
            </w:r>
          </w:p>
        </w:tc>
      </w:tr>
    </w:tbl>
    <w:p w14:paraId="56CDEB32"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012"/>
        <w:gridCol w:w="2441"/>
        <w:gridCol w:w="5597"/>
      </w:tblGrid>
      <w:tr w:rsidR="006755EC" w14:paraId="5056544C" w14:textId="77777777">
        <w:tc>
          <w:tcPr>
            <w:tcW w:w="2016" w:type="dxa"/>
            <w:tcBorders>
              <w:top w:val="nil"/>
              <w:left w:val="single" w:sz="24" w:space="0" w:color="F2C94C"/>
              <w:bottom w:val="nil"/>
              <w:right w:val="nil"/>
            </w:tcBorders>
            <w:shd w:val="clear" w:color="auto" w:fill="1F2D4A"/>
            <w:tcMar>
              <w:top w:w="120" w:type="dxa"/>
              <w:left w:w="180" w:type="dxa"/>
              <w:bottom w:w="120" w:type="dxa"/>
              <w:right w:w="60" w:type="dxa"/>
            </w:tcMar>
          </w:tcPr>
          <w:p w14:paraId="34C4C1F2" w14:textId="77777777" w:rsidR="006755EC" w:rsidRDefault="001B2695">
            <w:pPr>
              <w:spacing w:after="0"/>
              <w:rPr>
                <w:rFonts w:hint="eastAsia"/>
              </w:rPr>
            </w:pPr>
            <w:r>
              <w:rPr>
                <w:b/>
                <w:color w:val="F2C94C"/>
                <w:sz w:val="22"/>
              </w:rPr>
              <w:t>Operating</w:t>
            </w:r>
          </w:p>
        </w:tc>
        <w:tc>
          <w:tcPr>
            <w:tcW w:w="2448" w:type="dxa"/>
            <w:tcBorders>
              <w:top w:val="nil"/>
              <w:left w:val="nil"/>
              <w:bottom w:val="nil"/>
              <w:right w:val="nil"/>
            </w:tcBorders>
            <w:shd w:val="clear" w:color="auto" w:fill="1F2D4A"/>
            <w:tcMar>
              <w:top w:w="120" w:type="dxa"/>
              <w:left w:w="60" w:type="dxa"/>
              <w:bottom w:w="120" w:type="dxa"/>
              <w:right w:w="60" w:type="dxa"/>
            </w:tcMar>
          </w:tcPr>
          <w:p w14:paraId="7B512026" w14:textId="77777777" w:rsidR="006755EC" w:rsidRDefault="001B2695">
            <w:pPr>
              <w:spacing w:after="0"/>
              <w:rPr>
                <w:rFonts w:hint="eastAsia"/>
              </w:rPr>
            </w:pPr>
            <w:r>
              <w:rPr>
                <w:color w:val="4FC3DC"/>
                <w:sz w:val="18"/>
              </w:rPr>
              <w:t>Listens to the running network</w:t>
            </w:r>
          </w:p>
        </w:tc>
        <w:tc>
          <w:tcPr>
            <w:tcW w:w="5616" w:type="dxa"/>
            <w:tcBorders>
              <w:top w:val="nil"/>
              <w:left w:val="nil"/>
              <w:bottom w:val="nil"/>
              <w:right w:val="nil"/>
            </w:tcBorders>
            <w:shd w:val="clear" w:color="auto" w:fill="1F2D4A"/>
            <w:tcMar>
              <w:top w:w="120" w:type="dxa"/>
              <w:left w:w="60" w:type="dxa"/>
              <w:bottom w:w="120" w:type="dxa"/>
              <w:right w:w="180" w:type="dxa"/>
            </w:tcMar>
          </w:tcPr>
          <w:p w14:paraId="724B5DB1" w14:textId="77777777" w:rsidR="006755EC" w:rsidRDefault="001B2695">
            <w:pPr>
              <w:spacing w:after="0"/>
              <w:rPr>
                <w:rFonts w:hint="eastAsia"/>
              </w:rPr>
            </w:pPr>
            <w:r>
              <w:rPr>
                <w:sz w:val="19"/>
              </w:rPr>
              <w:t>Produces continuous drift notifications, a Network Health Dashboard, the Question Service for live network strategic queries.</w:t>
            </w:r>
          </w:p>
        </w:tc>
      </w:tr>
    </w:tbl>
    <w:p w14:paraId="1AECD156" w14:textId="77777777" w:rsidR="006755EC" w:rsidRDefault="006755EC">
      <w:pPr>
        <w:spacing w:after="40"/>
        <w:rPr>
          <w:rFonts w:hint="eastAsia"/>
        </w:rPr>
      </w:pPr>
    </w:p>
    <w:p w14:paraId="0A278F09" w14:textId="77777777" w:rsidR="006755EC" w:rsidRDefault="001B2695">
      <w:pPr>
        <w:spacing w:after="0"/>
        <w:rPr>
          <w:rFonts w:hint="eastAsia"/>
        </w:rPr>
      </w:pPr>
      <w:r>
        <w:rPr>
          <w:i/>
          <w:color w:val="F2C94C"/>
        </w:rPr>
        <w:t>The Listening Systems do not finish when an engagement ends. They keep running. That is the point.</w:t>
      </w:r>
    </w:p>
    <w:p w14:paraId="2AA707FD"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4C74E8A2" w14:textId="77777777">
        <w:tc>
          <w:tcPr>
            <w:tcW w:w="8640" w:type="dxa"/>
            <w:tcBorders>
              <w:top w:val="nil"/>
              <w:left w:val="nil"/>
              <w:bottom w:val="nil"/>
              <w:right w:val="nil"/>
            </w:tcBorders>
            <w:tcMar>
              <w:top w:w="0" w:type="dxa"/>
              <w:left w:w="0" w:type="dxa"/>
              <w:bottom w:w="40" w:type="dxa"/>
              <w:right w:w="0" w:type="dxa"/>
            </w:tcMar>
          </w:tcPr>
          <w:p w14:paraId="64EA45D5" w14:textId="77777777" w:rsidR="006755EC" w:rsidRDefault="001B2695">
            <w:pPr>
              <w:spacing w:after="0"/>
              <w:rPr>
                <w:rFonts w:hint="eastAsia"/>
              </w:rPr>
            </w:pPr>
            <w:r>
              <w:rPr>
                <w:b/>
                <w:color w:val="888780"/>
                <w:spacing w:val="60"/>
                <w:sz w:val="18"/>
              </w:rPr>
              <w:lastRenderedPageBreak/>
              <w:t>PAGE 06 / COMMERCIAL CATEGORIES AND PRINCIPLES</w:t>
            </w:r>
          </w:p>
        </w:tc>
        <w:tc>
          <w:tcPr>
            <w:tcW w:w="1440" w:type="dxa"/>
            <w:tcBorders>
              <w:top w:val="nil"/>
              <w:left w:val="nil"/>
              <w:bottom w:val="nil"/>
              <w:right w:val="nil"/>
            </w:tcBorders>
            <w:tcMar>
              <w:top w:w="0" w:type="dxa"/>
              <w:left w:w="0" w:type="dxa"/>
              <w:bottom w:w="40" w:type="dxa"/>
              <w:right w:w="0" w:type="dxa"/>
            </w:tcMar>
          </w:tcPr>
          <w:p w14:paraId="0A85DCD1" w14:textId="77777777" w:rsidR="006755EC" w:rsidRDefault="001B2695">
            <w:pPr>
              <w:spacing w:after="0"/>
              <w:jc w:val="right"/>
              <w:rPr>
                <w:rFonts w:hint="eastAsia"/>
              </w:rPr>
            </w:pPr>
            <w:r>
              <w:rPr>
                <w:color w:val="888780"/>
                <w:sz w:val="18"/>
              </w:rPr>
              <w:t>07</w:t>
            </w:r>
          </w:p>
        </w:tc>
      </w:tr>
    </w:tbl>
    <w:p w14:paraId="3C0D7D39" w14:textId="77777777" w:rsidR="006755EC" w:rsidRDefault="001B2695">
      <w:pPr>
        <w:pBdr>
          <w:bottom w:val="single" w:sz="4" w:space="1" w:color="1F2D4A"/>
        </w:pBdr>
        <w:spacing w:after="240"/>
        <w:rPr>
          <w:rFonts w:hint="eastAsia"/>
        </w:rPr>
      </w:pPr>
      <w:r>
        <w:t xml:space="preserve"> </w:t>
      </w:r>
    </w:p>
    <w:p w14:paraId="6C89BC89" w14:textId="77777777" w:rsidR="006755EC" w:rsidRDefault="001B2695">
      <w:pPr>
        <w:rPr>
          <w:rFonts w:hint="eastAsia"/>
        </w:rPr>
      </w:pPr>
      <w:r>
        <w:rPr>
          <w:b/>
          <w:color w:val="4FC3DC"/>
          <w:spacing w:val="60"/>
          <w:sz w:val="18"/>
        </w:rPr>
        <w:t>LAYER 4: THE COMMERCIAL MODEL</w:t>
      </w:r>
    </w:p>
    <w:p w14:paraId="7B12C2E3" w14:textId="77777777" w:rsidR="006755EC" w:rsidRDefault="001B2695">
      <w:pPr>
        <w:spacing w:after="160"/>
        <w:rPr>
          <w:rFonts w:hint="eastAsia"/>
        </w:rPr>
      </w:pPr>
      <w:r>
        <w:t>Ruptiv prices for outcomes. The invoice follows the proof. Three commercial categories structure how Ruptiv engages.</w:t>
      </w:r>
    </w:p>
    <w:tbl>
      <w:tblPr>
        <w:tblW w:w="0" w:type="auto"/>
        <w:tblBorders>
          <w:top w:val="nil"/>
          <w:left w:val="nil"/>
          <w:bottom w:val="nil"/>
          <w:right w:val="nil"/>
          <w:insideH w:val="nil"/>
          <w:insideV w:val="nil"/>
        </w:tblBorders>
        <w:tblLook w:val="04A0" w:firstRow="1" w:lastRow="0" w:firstColumn="1" w:lastColumn="0" w:noHBand="0" w:noVBand="1"/>
      </w:tblPr>
      <w:tblGrid>
        <w:gridCol w:w="2875"/>
        <w:gridCol w:w="7175"/>
      </w:tblGrid>
      <w:tr w:rsidR="006755EC" w14:paraId="53B2C2FE"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19CB66B1" w14:textId="77777777" w:rsidR="006755EC" w:rsidRDefault="001B2695">
            <w:pPr>
              <w:spacing w:after="0"/>
              <w:rPr>
                <w:rFonts w:hint="eastAsia"/>
              </w:rPr>
            </w:pPr>
            <w:r>
              <w:rPr>
                <w:b/>
                <w:color w:val="F2C94C"/>
                <w:sz w:val="22"/>
              </w:rPr>
              <w:t>Diagnostic Engagements</w:t>
            </w:r>
          </w:p>
        </w:tc>
        <w:tc>
          <w:tcPr>
            <w:tcW w:w="7200" w:type="dxa"/>
            <w:tcBorders>
              <w:top w:val="nil"/>
              <w:left w:val="nil"/>
              <w:bottom w:val="nil"/>
              <w:right w:val="nil"/>
            </w:tcBorders>
            <w:shd w:val="clear" w:color="auto" w:fill="1F2D4A"/>
            <w:tcMar>
              <w:top w:w="120" w:type="dxa"/>
              <w:left w:w="80" w:type="dxa"/>
              <w:bottom w:w="120" w:type="dxa"/>
              <w:right w:w="180" w:type="dxa"/>
            </w:tcMar>
          </w:tcPr>
          <w:p w14:paraId="2B2F6141" w14:textId="77777777" w:rsidR="006755EC" w:rsidRDefault="001B2695">
            <w:pPr>
              <w:spacing w:after="0"/>
              <w:rPr>
                <w:rFonts w:hint="eastAsia"/>
              </w:rPr>
            </w:pPr>
            <w:r>
              <w:rPr>
                <w:sz w:val="19"/>
              </w:rPr>
              <w:t>Paid work that produces a baseline and a target before any platform installation. Sets the measurement model that governs everything that follows.</w:t>
            </w:r>
          </w:p>
        </w:tc>
      </w:tr>
    </w:tbl>
    <w:p w14:paraId="0BEF75F3"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875"/>
        <w:gridCol w:w="7175"/>
      </w:tblGrid>
      <w:tr w:rsidR="006755EC" w14:paraId="08EA6881"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7C8C9F6D" w14:textId="77777777" w:rsidR="006755EC" w:rsidRDefault="001B2695">
            <w:pPr>
              <w:spacing w:after="0"/>
              <w:rPr>
                <w:rFonts w:hint="eastAsia"/>
              </w:rPr>
            </w:pPr>
            <w:r>
              <w:rPr>
                <w:b/>
                <w:color w:val="F2C94C"/>
                <w:sz w:val="22"/>
              </w:rPr>
              <w:t>Disruption Engagements</w:t>
            </w:r>
          </w:p>
        </w:tc>
        <w:tc>
          <w:tcPr>
            <w:tcW w:w="7200" w:type="dxa"/>
            <w:tcBorders>
              <w:top w:val="nil"/>
              <w:left w:val="nil"/>
              <w:bottom w:val="nil"/>
              <w:right w:val="nil"/>
            </w:tcBorders>
            <w:shd w:val="clear" w:color="auto" w:fill="1F2D4A"/>
            <w:tcMar>
              <w:top w:w="120" w:type="dxa"/>
              <w:left w:w="80" w:type="dxa"/>
              <w:bottom w:w="120" w:type="dxa"/>
              <w:right w:w="180" w:type="dxa"/>
            </w:tcMar>
          </w:tcPr>
          <w:p w14:paraId="39CD029F" w14:textId="77777777" w:rsidR="006755EC" w:rsidRDefault="001B2695">
            <w:pPr>
              <w:spacing w:after="0"/>
              <w:rPr>
                <w:rFonts w:hint="eastAsia"/>
              </w:rPr>
            </w:pPr>
            <w:r>
              <w:rPr>
                <w:sz w:val="19"/>
              </w:rPr>
              <w:t>Paid work that installs the Engagement Listening System, deploys Sparring Partners into recomposed workflows, and produces documented cost reduction. Priced as a proxy for the savings against the pre-agreed baseline.</w:t>
            </w:r>
          </w:p>
        </w:tc>
      </w:tr>
    </w:tbl>
    <w:p w14:paraId="23B7CF11"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875"/>
        <w:gridCol w:w="7175"/>
      </w:tblGrid>
      <w:tr w:rsidR="006755EC" w14:paraId="372BF1DA"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5D8F8D79" w14:textId="77777777" w:rsidR="006755EC" w:rsidRDefault="001B2695">
            <w:pPr>
              <w:spacing w:after="0"/>
              <w:rPr>
                <w:rFonts w:hint="eastAsia"/>
              </w:rPr>
            </w:pPr>
            <w:r>
              <w:rPr>
                <w:b/>
                <w:color w:val="F2C94C"/>
                <w:sz w:val="22"/>
              </w:rPr>
              <w:t>Operating Engagements</w:t>
            </w:r>
          </w:p>
        </w:tc>
        <w:tc>
          <w:tcPr>
            <w:tcW w:w="7200" w:type="dxa"/>
            <w:tcBorders>
              <w:top w:val="nil"/>
              <w:left w:val="nil"/>
              <w:bottom w:val="nil"/>
              <w:right w:val="nil"/>
            </w:tcBorders>
            <w:shd w:val="clear" w:color="auto" w:fill="1F2D4A"/>
            <w:tcMar>
              <w:top w:w="120" w:type="dxa"/>
              <w:left w:w="80" w:type="dxa"/>
              <w:bottom w:w="120" w:type="dxa"/>
              <w:right w:w="180" w:type="dxa"/>
            </w:tcMar>
          </w:tcPr>
          <w:p w14:paraId="6733540A" w14:textId="77777777" w:rsidR="006755EC" w:rsidRDefault="001B2695">
            <w:pPr>
              <w:spacing w:after="0"/>
              <w:rPr>
                <w:rFonts w:hint="eastAsia"/>
              </w:rPr>
            </w:pPr>
            <w:r>
              <w:rPr>
                <w:sz w:val="19"/>
              </w:rPr>
              <w:t>Ongoing work after the disruption is complete. The Operating Listening System runs continuously. Subscription-shaped.</w:t>
            </w:r>
          </w:p>
        </w:tc>
      </w:tr>
    </w:tbl>
    <w:p w14:paraId="2BEA1974" w14:textId="77777777" w:rsidR="006755EC" w:rsidRDefault="006755EC">
      <w:pPr>
        <w:spacing w:after="40"/>
        <w:rPr>
          <w:rFonts w:hint="eastAsia"/>
        </w:rPr>
      </w:pPr>
    </w:p>
    <w:p w14:paraId="4EDF4823" w14:textId="77777777" w:rsidR="006755EC" w:rsidRDefault="001B2695">
      <w:pPr>
        <w:spacing w:after="240"/>
        <w:rPr>
          <w:rFonts w:hint="eastAsia"/>
        </w:rPr>
      </w:pPr>
      <w:r>
        <w:t>Across all three categories, the principle is constant. Ruptiv invoices when the cost line moves.</w:t>
      </w:r>
    </w:p>
    <w:p w14:paraId="66DF4E1D" w14:textId="77777777" w:rsidR="006755EC" w:rsidRDefault="001B2695">
      <w:pPr>
        <w:spacing w:before="200" w:after="120"/>
        <w:rPr>
          <w:rFonts w:hint="eastAsia"/>
        </w:rPr>
      </w:pPr>
      <w:r>
        <w:rPr>
          <w:sz w:val="40"/>
        </w:rPr>
        <w:t>The Ruptiv principles.</w:t>
      </w:r>
    </w:p>
    <w:p w14:paraId="1FC4A1DA" w14:textId="77777777" w:rsidR="006755EC" w:rsidRDefault="001B2695">
      <w:pPr>
        <w:spacing w:after="200"/>
        <w:rPr>
          <w:rFonts w:hint="eastAsia"/>
        </w:rPr>
      </w:pPr>
      <w:r>
        <w:rPr>
          <w:i/>
          <w:sz w:val="21"/>
        </w:rPr>
        <w:t>Four foundational principles inform the architecture. They appear in every layer of how the firm operates.</w:t>
      </w:r>
    </w:p>
    <w:tbl>
      <w:tblPr>
        <w:tblW w:w="0" w:type="auto"/>
        <w:tblBorders>
          <w:top w:val="nil"/>
          <w:left w:val="nil"/>
          <w:bottom w:val="nil"/>
          <w:right w:val="nil"/>
          <w:insideH w:val="nil"/>
          <w:insideV w:val="nil"/>
        </w:tblBorders>
        <w:tblLook w:val="04A0" w:firstRow="1" w:lastRow="0" w:firstColumn="1" w:lastColumn="0" w:noHBand="0" w:noVBand="1"/>
      </w:tblPr>
      <w:tblGrid>
        <w:gridCol w:w="2874"/>
        <w:gridCol w:w="7176"/>
      </w:tblGrid>
      <w:tr w:rsidR="006755EC" w14:paraId="48096A6A"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5581F093" w14:textId="77777777" w:rsidR="006755EC" w:rsidRDefault="001B2695">
            <w:pPr>
              <w:spacing w:after="0"/>
              <w:rPr>
                <w:rFonts w:hint="eastAsia"/>
              </w:rPr>
            </w:pPr>
            <w:r>
              <w:rPr>
                <w:b/>
                <w:color w:val="F2C94C"/>
                <w:sz w:val="22"/>
              </w:rPr>
              <w:t>Role-as-Agent Equivalence</w:t>
            </w:r>
          </w:p>
        </w:tc>
        <w:tc>
          <w:tcPr>
            <w:tcW w:w="7200" w:type="dxa"/>
            <w:tcBorders>
              <w:top w:val="nil"/>
              <w:left w:val="nil"/>
              <w:bottom w:val="nil"/>
              <w:right w:val="nil"/>
            </w:tcBorders>
            <w:shd w:val="clear" w:color="auto" w:fill="1F2D4A"/>
            <w:tcMar>
              <w:top w:w="120" w:type="dxa"/>
              <w:left w:w="80" w:type="dxa"/>
              <w:bottom w:w="120" w:type="dxa"/>
              <w:right w:w="180" w:type="dxa"/>
            </w:tcMar>
          </w:tcPr>
          <w:p w14:paraId="74F72312" w14:textId="77777777" w:rsidR="006755EC" w:rsidRDefault="001B2695">
            <w:pPr>
              <w:spacing w:after="0"/>
              <w:rPr>
                <w:rFonts w:hint="eastAsia"/>
              </w:rPr>
            </w:pPr>
            <w:r>
              <w:rPr>
                <w:sz w:val="19"/>
              </w:rPr>
              <w:t>A Role's Accountability statement is simultaneously the contract with a human actor and the specification for an agentic actor. The operating structure and the agent specification are the same artifact.</w:t>
            </w:r>
          </w:p>
        </w:tc>
      </w:tr>
    </w:tbl>
    <w:p w14:paraId="2C444E88"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874"/>
        <w:gridCol w:w="7176"/>
      </w:tblGrid>
      <w:tr w:rsidR="006755EC" w14:paraId="5BF6A722"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53859212" w14:textId="77777777" w:rsidR="006755EC" w:rsidRDefault="001B2695">
            <w:pPr>
              <w:spacing w:after="0"/>
              <w:rPr>
                <w:rFonts w:hint="eastAsia"/>
              </w:rPr>
            </w:pPr>
            <w:r>
              <w:rPr>
                <w:b/>
                <w:color w:val="F2C94C"/>
                <w:sz w:val="22"/>
              </w:rPr>
              <w:t>Lines Distinction</w:t>
            </w:r>
          </w:p>
        </w:tc>
        <w:tc>
          <w:tcPr>
            <w:tcW w:w="7200" w:type="dxa"/>
            <w:tcBorders>
              <w:top w:val="nil"/>
              <w:left w:val="nil"/>
              <w:bottom w:val="nil"/>
              <w:right w:val="nil"/>
            </w:tcBorders>
            <w:shd w:val="clear" w:color="auto" w:fill="1F2D4A"/>
            <w:tcMar>
              <w:top w:w="120" w:type="dxa"/>
              <w:left w:w="80" w:type="dxa"/>
              <w:bottom w:w="120" w:type="dxa"/>
              <w:right w:w="180" w:type="dxa"/>
            </w:tcMar>
          </w:tcPr>
          <w:p w14:paraId="46418E23" w14:textId="77777777" w:rsidR="006755EC" w:rsidRDefault="001B2695">
            <w:pPr>
              <w:spacing w:after="0"/>
              <w:rPr>
                <w:rFonts w:hint="eastAsia"/>
              </w:rPr>
            </w:pPr>
            <w:r>
              <w:rPr>
                <w:sz w:val="19"/>
              </w:rPr>
              <w:t>An organization's administrative truth (Lines of Reporting) is structurally distinct from its operational truth (Lines of Accountability). The gap is the most reliable diagnostic Ruptiv has.</w:t>
            </w:r>
          </w:p>
        </w:tc>
      </w:tr>
    </w:tbl>
    <w:p w14:paraId="2076BC10"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874"/>
        <w:gridCol w:w="7176"/>
      </w:tblGrid>
      <w:tr w:rsidR="006755EC" w14:paraId="4D80A919"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06197D32" w14:textId="77777777" w:rsidR="006755EC" w:rsidRDefault="001B2695">
            <w:pPr>
              <w:spacing w:after="0"/>
              <w:rPr>
                <w:rFonts w:hint="eastAsia"/>
              </w:rPr>
            </w:pPr>
            <w:r>
              <w:rPr>
                <w:b/>
                <w:color w:val="F2C94C"/>
                <w:sz w:val="22"/>
              </w:rPr>
              <w:t>Context Inheritance</w:t>
            </w:r>
          </w:p>
        </w:tc>
        <w:tc>
          <w:tcPr>
            <w:tcW w:w="7200" w:type="dxa"/>
            <w:tcBorders>
              <w:top w:val="nil"/>
              <w:left w:val="nil"/>
              <w:bottom w:val="nil"/>
              <w:right w:val="nil"/>
            </w:tcBorders>
            <w:shd w:val="clear" w:color="auto" w:fill="1F2D4A"/>
            <w:tcMar>
              <w:top w:w="120" w:type="dxa"/>
              <w:left w:w="80" w:type="dxa"/>
              <w:bottom w:w="120" w:type="dxa"/>
              <w:right w:w="180" w:type="dxa"/>
            </w:tcMar>
          </w:tcPr>
          <w:p w14:paraId="1AE4904D" w14:textId="77777777" w:rsidR="006755EC" w:rsidRDefault="001B2695">
            <w:pPr>
              <w:spacing w:after="0"/>
              <w:rPr>
                <w:rFonts w:hint="eastAsia"/>
              </w:rPr>
            </w:pPr>
            <w:r>
              <w:rPr>
                <w:sz w:val="19"/>
              </w:rPr>
              <w:t>Objects within an organization sit in relationship to other objects, are informed by those relationship contexts, and inherit meaning from them. Structural changes propagate predictably when context inheritance is respected.</w:t>
            </w:r>
          </w:p>
        </w:tc>
      </w:tr>
    </w:tbl>
    <w:p w14:paraId="5BE3F6BA"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873"/>
        <w:gridCol w:w="7177"/>
      </w:tblGrid>
      <w:tr w:rsidR="006755EC" w14:paraId="5CE77DBE" w14:textId="77777777">
        <w:tc>
          <w:tcPr>
            <w:tcW w:w="2880" w:type="dxa"/>
            <w:tcBorders>
              <w:top w:val="nil"/>
              <w:left w:val="single" w:sz="24" w:space="0" w:color="F2C94C"/>
              <w:bottom w:val="nil"/>
              <w:right w:val="nil"/>
            </w:tcBorders>
            <w:shd w:val="clear" w:color="auto" w:fill="1F2D4A"/>
            <w:tcMar>
              <w:top w:w="120" w:type="dxa"/>
              <w:left w:w="180" w:type="dxa"/>
              <w:bottom w:w="120" w:type="dxa"/>
              <w:right w:w="80" w:type="dxa"/>
            </w:tcMar>
          </w:tcPr>
          <w:p w14:paraId="537D24D2" w14:textId="77777777" w:rsidR="006755EC" w:rsidRDefault="001B2695">
            <w:pPr>
              <w:spacing w:after="0"/>
              <w:rPr>
                <w:rFonts w:hint="eastAsia"/>
              </w:rPr>
            </w:pPr>
            <w:r>
              <w:rPr>
                <w:b/>
                <w:color w:val="F2C94C"/>
                <w:sz w:val="22"/>
              </w:rPr>
              <w:t>Honest-Voice</w:t>
            </w:r>
          </w:p>
        </w:tc>
        <w:tc>
          <w:tcPr>
            <w:tcW w:w="7200" w:type="dxa"/>
            <w:tcBorders>
              <w:top w:val="nil"/>
              <w:left w:val="nil"/>
              <w:bottom w:val="nil"/>
              <w:right w:val="nil"/>
            </w:tcBorders>
            <w:shd w:val="clear" w:color="auto" w:fill="1F2D4A"/>
            <w:tcMar>
              <w:top w:w="120" w:type="dxa"/>
              <w:left w:w="80" w:type="dxa"/>
              <w:bottom w:w="120" w:type="dxa"/>
              <w:right w:w="180" w:type="dxa"/>
            </w:tcMar>
          </w:tcPr>
          <w:p w14:paraId="02FA71AC" w14:textId="77777777" w:rsidR="006755EC" w:rsidRDefault="001B2695">
            <w:pPr>
              <w:spacing w:after="0"/>
              <w:rPr>
                <w:rFonts w:hint="eastAsia"/>
              </w:rPr>
            </w:pPr>
            <w:r>
              <w:rPr>
                <w:sz w:val="19"/>
              </w:rPr>
              <w:t>Every Sparring Partner is built to challenge assumptions, surface blind spots, and provide contrastive reasoning. When a Sparring Partner sounds agreeable, the build is wrong.</w:t>
            </w:r>
          </w:p>
        </w:tc>
      </w:tr>
    </w:tbl>
    <w:p w14:paraId="37CFCCF3" w14:textId="77777777" w:rsidR="006755EC" w:rsidRDefault="006755EC">
      <w:pPr>
        <w:spacing w:after="40"/>
        <w:rPr>
          <w:rFonts w:hint="eastAsia"/>
        </w:rPr>
      </w:pPr>
    </w:p>
    <w:p w14:paraId="39F65879"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43669781" w14:textId="77777777">
        <w:tc>
          <w:tcPr>
            <w:tcW w:w="8640" w:type="dxa"/>
            <w:tcBorders>
              <w:top w:val="nil"/>
              <w:left w:val="nil"/>
              <w:bottom w:val="nil"/>
              <w:right w:val="nil"/>
            </w:tcBorders>
            <w:tcMar>
              <w:top w:w="0" w:type="dxa"/>
              <w:left w:w="0" w:type="dxa"/>
              <w:bottom w:w="40" w:type="dxa"/>
              <w:right w:w="0" w:type="dxa"/>
            </w:tcMar>
          </w:tcPr>
          <w:p w14:paraId="3AACFDC3" w14:textId="77777777" w:rsidR="006755EC" w:rsidRDefault="001B2695">
            <w:pPr>
              <w:spacing w:after="0"/>
              <w:rPr>
                <w:rFonts w:hint="eastAsia"/>
              </w:rPr>
            </w:pPr>
            <w:r>
              <w:rPr>
                <w:b/>
                <w:color w:val="888780"/>
                <w:spacing w:val="60"/>
                <w:sz w:val="18"/>
              </w:rPr>
              <w:lastRenderedPageBreak/>
              <w:t>PAGE 07 / MCKINSEY VALIDATION</w:t>
            </w:r>
          </w:p>
        </w:tc>
        <w:tc>
          <w:tcPr>
            <w:tcW w:w="1440" w:type="dxa"/>
            <w:tcBorders>
              <w:top w:val="nil"/>
              <w:left w:val="nil"/>
              <w:bottom w:val="nil"/>
              <w:right w:val="nil"/>
            </w:tcBorders>
            <w:tcMar>
              <w:top w:w="0" w:type="dxa"/>
              <w:left w:w="0" w:type="dxa"/>
              <w:bottom w:w="40" w:type="dxa"/>
              <w:right w:w="0" w:type="dxa"/>
            </w:tcMar>
          </w:tcPr>
          <w:p w14:paraId="198FF995" w14:textId="77777777" w:rsidR="006755EC" w:rsidRDefault="001B2695">
            <w:pPr>
              <w:spacing w:after="0"/>
              <w:jc w:val="right"/>
              <w:rPr>
                <w:rFonts w:hint="eastAsia"/>
              </w:rPr>
            </w:pPr>
            <w:r>
              <w:rPr>
                <w:color w:val="888780"/>
                <w:sz w:val="18"/>
              </w:rPr>
              <w:t>08</w:t>
            </w:r>
          </w:p>
        </w:tc>
      </w:tr>
    </w:tbl>
    <w:p w14:paraId="51CF098D" w14:textId="77777777" w:rsidR="006755EC" w:rsidRDefault="001B2695">
      <w:pPr>
        <w:pBdr>
          <w:bottom w:val="single" w:sz="4" w:space="1" w:color="1F2D4A"/>
        </w:pBdr>
        <w:spacing w:after="240"/>
        <w:rPr>
          <w:rFonts w:hint="eastAsia"/>
        </w:rPr>
      </w:pPr>
      <w:r>
        <w:t xml:space="preserve"> </w:t>
      </w:r>
    </w:p>
    <w:p w14:paraId="0EAE5053" w14:textId="77777777" w:rsidR="006755EC" w:rsidRDefault="001B2695">
      <w:pPr>
        <w:spacing w:after="160"/>
        <w:rPr>
          <w:rFonts w:hint="eastAsia"/>
        </w:rPr>
      </w:pPr>
      <w:r>
        <w:rPr>
          <w:sz w:val="48"/>
        </w:rPr>
        <w:t>The McKinsey validation.</w:t>
      </w:r>
    </w:p>
    <w:p w14:paraId="504C3B6C" w14:textId="77777777" w:rsidR="006755EC" w:rsidRDefault="001B2695">
      <w:pPr>
        <w:spacing w:after="200"/>
        <w:rPr>
          <w:rFonts w:hint="eastAsia"/>
        </w:rPr>
      </w:pPr>
      <w:r>
        <w:rPr>
          <w:i/>
          <w:sz w:val="22"/>
        </w:rPr>
        <w:t>McKinsey's published framework maps four agentic AI value propositions across five key factors. Ruptiv maps to End-to-End Workflow Disruptor on all five.</w:t>
      </w:r>
    </w:p>
    <w:tbl>
      <w:tblPr>
        <w:tblW w:w="0" w:type="auto"/>
        <w:tblBorders>
          <w:top w:val="nil"/>
          <w:left w:val="nil"/>
          <w:bottom w:val="nil"/>
          <w:right w:val="nil"/>
          <w:insideH w:val="nil"/>
          <w:insideV w:val="nil"/>
        </w:tblBorders>
        <w:tblLook w:val="04A0" w:firstRow="1" w:lastRow="0" w:firstColumn="1" w:lastColumn="0" w:noHBand="0" w:noVBand="1"/>
      </w:tblPr>
      <w:tblGrid>
        <w:gridCol w:w="2016"/>
        <w:gridCol w:w="2016"/>
        <w:gridCol w:w="2016"/>
        <w:gridCol w:w="2016"/>
        <w:gridCol w:w="2016"/>
      </w:tblGrid>
      <w:tr w:rsidR="006755EC" w14:paraId="0C49F309" w14:textId="77777777">
        <w:tc>
          <w:tcPr>
            <w:tcW w:w="2016" w:type="dxa"/>
            <w:tcMar>
              <w:top w:w="80" w:type="dxa"/>
              <w:left w:w="80" w:type="dxa"/>
              <w:bottom w:w="80" w:type="dxa"/>
              <w:right w:w="80" w:type="dxa"/>
            </w:tcMar>
          </w:tcPr>
          <w:p w14:paraId="17906BB7" w14:textId="77777777" w:rsidR="006755EC" w:rsidRDefault="001B2695">
            <w:pPr>
              <w:spacing w:after="0"/>
              <w:rPr>
                <w:rFonts w:hint="eastAsia"/>
              </w:rPr>
            </w:pPr>
            <w:r>
              <w:rPr>
                <w:b/>
                <w:color w:val="4FC3DC"/>
                <w:spacing w:val="50"/>
                <w:sz w:val="16"/>
              </w:rPr>
              <w:t>Key Factor</w:t>
            </w:r>
          </w:p>
        </w:tc>
        <w:tc>
          <w:tcPr>
            <w:tcW w:w="2016" w:type="dxa"/>
            <w:tcMar>
              <w:top w:w="80" w:type="dxa"/>
              <w:left w:w="80" w:type="dxa"/>
              <w:bottom w:w="80" w:type="dxa"/>
              <w:right w:w="80" w:type="dxa"/>
            </w:tcMar>
          </w:tcPr>
          <w:p w14:paraId="1A80F7EA" w14:textId="77777777" w:rsidR="006755EC" w:rsidRDefault="001B2695">
            <w:pPr>
              <w:spacing w:after="0"/>
              <w:rPr>
                <w:rFonts w:hint="eastAsia"/>
              </w:rPr>
            </w:pPr>
            <w:r>
              <w:rPr>
                <w:b/>
                <w:color w:val="4FC3DC"/>
                <w:spacing w:val="50"/>
                <w:sz w:val="16"/>
              </w:rPr>
              <w:t>Agentic AI</w:t>
            </w:r>
            <w:r>
              <w:rPr>
                <w:b/>
                <w:color w:val="4FC3DC"/>
                <w:spacing w:val="50"/>
                <w:sz w:val="16"/>
              </w:rPr>
              <w:br/>
              <w:t>Enabler</w:t>
            </w:r>
          </w:p>
        </w:tc>
        <w:tc>
          <w:tcPr>
            <w:tcW w:w="2016" w:type="dxa"/>
            <w:tcMar>
              <w:top w:w="80" w:type="dxa"/>
              <w:left w:w="80" w:type="dxa"/>
              <w:bottom w:w="80" w:type="dxa"/>
              <w:right w:w="80" w:type="dxa"/>
            </w:tcMar>
          </w:tcPr>
          <w:p w14:paraId="60B39AD5" w14:textId="77777777" w:rsidR="006755EC" w:rsidRDefault="001B2695">
            <w:pPr>
              <w:spacing w:after="0"/>
              <w:rPr>
                <w:rFonts w:hint="eastAsia"/>
              </w:rPr>
            </w:pPr>
            <w:r>
              <w:rPr>
                <w:b/>
                <w:color w:val="4FC3DC"/>
                <w:spacing w:val="50"/>
                <w:sz w:val="16"/>
              </w:rPr>
              <w:t>Packaged Agent</w:t>
            </w:r>
            <w:r>
              <w:rPr>
                <w:b/>
                <w:color w:val="4FC3DC"/>
                <w:spacing w:val="50"/>
                <w:sz w:val="16"/>
              </w:rPr>
              <w:br/>
              <w:t>Implementer</w:t>
            </w:r>
          </w:p>
        </w:tc>
        <w:tc>
          <w:tcPr>
            <w:tcW w:w="2016" w:type="dxa"/>
            <w:tcMar>
              <w:top w:w="80" w:type="dxa"/>
              <w:left w:w="80" w:type="dxa"/>
              <w:bottom w:w="80" w:type="dxa"/>
              <w:right w:w="80" w:type="dxa"/>
            </w:tcMar>
          </w:tcPr>
          <w:p w14:paraId="6547BA83" w14:textId="77777777" w:rsidR="006755EC" w:rsidRDefault="001B2695">
            <w:pPr>
              <w:spacing w:after="0"/>
              <w:rPr>
                <w:rFonts w:hint="eastAsia"/>
              </w:rPr>
            </w:pPr>
            <w:r>
              <w:rPr>
                <w:b/>
                <w:color w:val="4FC3DC"/>
                <w:spacing w:val="50"/>
                <w:sz w:val="16"/>
              </w:rPr>
              <w:t>Custom Agent</w:t>
            </w:r>
            <w:r>
              <w:rPr>
                <w:b/>
                <w:color w:val="4FC3DC"/>
                <w:spacing w:val="50"/>
                <w:sz w:val="16"/>
              </w:rPr>
              <w:br/>
              <w:t>Developer</w:t>
            </w:r>
          </w:p>
        </w:tc>
        <w:tc>
          <w:tcPr>
            <w:tcW w:w="2016" w:type="dxa"/>
            <w:tcMar>
              <w:top w:w="80" w:type="dxa"/>
              <w:left w:w="80" w:type="dxa"/>
              <w:bottom w:w="80" w:type="dxa"/>
              <w:right w:w="80" w:type="dxa"/>
            </w:tcMar>
          </w:tcPr>
          <w:p w14:paraId="0BCB2B54" w14:textId="77777777" w:rsidR="006755EC" w:rsidRDefault="001B2695">
            <w:pPr>
              <w:spacing w:after="0"/>
              <w:rPr>
                <w:rFonts w:hint="eastAsia"/>
              </w:rPr>
            </w:pPr>
            <w:r>
              <w:rPr>
                <w:b/>
                <w:color w:val="F2C94C"/>
                <w:spacing w:val="50"/>
                <w:sz w:val="16"/>
              </w:rPr>
              <w:t>End-to-End Workflow</w:t>
            </w:r>
            <w:r>
              <w:rPr>
                <w:b/>
                <w:color w:val="F2C94C"/>
                <w:spacing w:val="50"/>
                <w:sz w:val="16"/>
              </w:rPr>
              <w:br/>
              <w:t>Disruptor (Ruptiv)</w:t>
            </w:r>
          </w:p>
        </w:tc>
      </w:tr>
      <w:tr w:rsidR="006755EC" w14:paraId="4D2E9D9E" w14:textId="77777777">
        <w:tc>
          <w:tcPr>
            <w:tcW w:w="2016" w:type="dxa"/>
            <w:tcMar>
              <w:top w:w="80" w:type="dxa"/>
              <w:left w:w="80" w:type="dxa"/>
              <w:bottom w:w="80" w:type="dxa"/>
              <w:right w:w="80" w:type="dxa"/>
            </w:tcMar>
          </w:tcPr>
          <w:p w14:paraId="0BFD589E" w14:textId="77777777" w:rsidR="006755EC" w:rsidRDefault="001B2695">
            <w:pPr>
              <w:spacing w:after="0"/>
              <w:rPr>
                <w:rFonts w:hint="eastAsia"/>
              </w:rPr>
            </w:pPr>
            <w:r>
              <w:rPr>
                <w:b/>
                <w:sz w:val="16"/>
              </w:rPr>
              <w:t>Domain expertise</w:t>
            </w:r>
          </w:p>
        </w:tc>
        <w:tc>
          <w:tcPr>
            <w:tcW w:w="2016" w:type="dxa"/>
            <w:tcMar>
              <w:top w:w="80" w:type="dxa"/>
              <w:left w:w="80" w:type="dxa"/>
              <w:bottom w:w="80" w:type="dxa"/>
              <w:right w:w="80" w:type="dxa"/>
            </w:tcMar>
          </w:tcPr>
          <w:p w14:paraId="113D6FA8" w14:textId="77777777" w:rsidR="006755EC" w:rsidRDefault="001B2695">
            <w:pPr>
              <w:spacing w:after="0"/>
              <w:rPr>
                <w:rFonts w:hint="eastAsia"/>
              </w:rPr>
            </w:pPr>
            <w:r>
              <w:rPr>
                <w:sz w:val="16"/>
              </w:rPr>
              <w:t>HIGH. Broad domain understanding for foundational infrastructure</w:t>
            </w:r>
          </w:p>
        </w:tc>
        <w:tc>
          <w:tcPr>
            <w:tcW w:w="2016" w:type="dxa"/>
            <w:tcMar>
              <w:top w:w="80" w:type="dxa"/>
              <w:left w:w="80" w:type="dxa"/>
              <w:bottom w:w="80" w:type="dxa"/>
              <w:right w:w="80" w:type="dxa"/>
            </w:tcMar>
          </w:tcPr>
          <w:p w14:paraId="7CF133BA" w14:textId="77777777" w:rsidR="006755EC" w:rsidRDefault="001B2695">
            <w:pPr>
              <w:spacing w:after="0"/>
              <w:rPr>
                <w:rFonts w:hint="eastAsia"/>
              </w:rPr>
            </w:pPr>
            <w:r>
              <w:rPr>
                <w:sz w:val="16"/>
              </w:rPr>
              <w:t>LOW. Minimal domain access</w:t>
            </w:r>
          </w:p>
        </w:tc>
        <w:tc>
          <w:tcPr>
            <w:tcW w:w="2016" w:type="dxa"/>
            <w:tcMar>
              <w:top w:w="80" w:type="dxa"/>
              <w:left w:w="80" w:type="dxa"/>
              <w:bottom w:w="80" w:type="dxa"/>
              <w:right w:w="80" w:type="dxa"/>
            </w:tcMar>
          </w:tcPr>
          <w:p w14:paraId="4C5A7383" w14:textId="77777777" w:rsidR="006755EC" w:rsidRDefault="001B2695">
            <w:pPr>
              <w:spacing w:after="0"/>
              <w:rPr>
                <w:rFonts w:hint="eastAsia"/>
              </w:rPr>
            </w:pPr>
            <w:r>
              <w:rPr>
                <w:sz w:val="16"/>
              </w:rPr>
              <w:t>HIGH. Deep domain expertise and privileged data access</w:t>
            </w:r>
          </w:p>
        </w:tc>
        <w:tc>
          <w:tcPr>
            <w:tcW w:w="2016" w:type="dxa"/>
            <w:tcMar>
              <w:top w:w="80" w:type="dxa"/>
              <w:left w:w="80" w:type="dxa"/>
              <w:bottom w:w="80" w:type="dxa"/>
              <w:right w:w="80" w:type="dxa"/>
            </w:tcMar>
          </w:tcPr>
          <w:p w14:paraId="450E35B1" w14:textId="77777777" w:rsidR="006755EC" w:rsidRDefault="001B2695">
            <w:pPr>
              <w:spacing w:after="0"/>
              <w:rPr>
                <w:rFonts w:hint="eastAsia"/>
              </w:rPr>
            </w:pPr>
            <w:r>
              <w:rPr>
                <w:color w:val="F2C94C"/>
                <w:sz w:val="16"/>
              </w:rPr>
              <w:t>HIGH. Critical for designing agent-led workflow solutions</w:t>
            </w:r>
          </w:p>
        </w:tc>
      </w:tr>
      <w:tr w:rsidR="006755EC" w14:paraId="6732BD80" w14:textId="77777777">
        <w:tc>
          <w:tcPr>
            <w:tcW w:w="2016" w:type="dxa"/>
            <w:tcMar>
              <w:top w:w="80" w:type="dxa"/>
              <w:left w:w="80" w:type="dxa"/>
              <w:bottom w:w="80" w:type="dxa"/>
              <w:right w:w="80" w:type="dxa"/>
            </w:tcMar>
          </w:tcPr>
          <w:p w14:paraId="106199D5" w14:textId="77777777" w:rsidR="006755EC" w:rsidRDefault="001B2695">
            <w:pPr>
              <w:spacing w:after="0"/>
              <w:rPr>
                <w:rFonts w:hint="eastAsia"/>
              </w:rPr>
            </w:pPr>
            <w:r>
              <w:rPr>
                <w:b/>
                <w:sz w:val="16"/>
              </w:rPr>
              <w:t>Engineering depth</w:t>
            </w:r>
          </w:p>
        </w:tc>
        <w:tc>
          <w:tcPr>
            <w:tcW w:w="2016" w:type="dxa"/>
            <w:tcMar>
              <w:top w:w="80" w:type="dxa"/>
              <w:left w:w="80" w:type="dxa"/>
              <w:bottom w:w="80" w:type="dxa"/>
              <w:right w:w="80" w:type="dxa"/>
            </w:tcMar>
          </w:tcPr>
          <w:p w14:paraId="0B573548" w14:textId="77777777" w:rsidR="006755EC" w:rsidRDefault="001B2695">
            <w:pPr>
              <w:spacing w:after="0"/>
              <w:rPr>
                <w:rFonts w:hint="eastAsia"/>
              </w:rPr>
            </w:pPr>
            <w:r>
              <w:rPr>
                <w:sz w:val="16"/>
              </w:rPr>
              <w:t>HIGH. Cloud, data engineering, orchestration</w:t>
            </w:r>
          </w:p>
        </w:tc>
        <w:tc>
          <w:tcPr>
            <w:tcW w:w="2016" w:type="dxa"/>
            <w:tcMar>
              <w:top w:w="80" w:type="dxa"/>
              <w:left w:w="80" w:type="dxa"/>
              <w:bottom w:w="80" w:type="dxa"/>
              <w:right w:w="80" w:type="dxa"/>
            </w:tcMar>
          </w:tcPr>
          <w:p w14:paraId="2BA3C7C6" w14:textId="77777777" w:rsidR="006755EC" w:rsidRDefault="001B2695">
            <w:pPr>
              <w:spacing w:after="0"/>
              <w:rPr>
                <w:rFonts w:hint="eastAsia"/>
              </w:rPr>
            </w:pPr>
            <w:r>
              <w:rPr>
                <w:sz w:val="16"/>
              </w:rPr>
              <w:t>MED. Integration of prebuilt agents</w:t>
            </w:r>
          </w:p>
        </w:tc>
        <w:tc>
          <w:tcPr>
            <w:tcW w:w="2016" w:type="dxa"/>
            <w:tcMar>
              <w:top w:w="80" w:type="dxa"/>
              <w:left w:w="80" w:type="dxa"/>
              <w:bottom w:w="80" w:type="dxa"/>
              <w:right w:w="80" w:type="dxa"/>
            </w:tcMar>
          </w:tcPr>
          <w:p w14:paraId="4533CEBF" w14:textId="77777777" w:rsidR="006755EC" w:rsidRDefault="001B2695">
            <w:pPr>
              <w:spacing w:after="0"/>
              <w:rPr>
                <w:rFonts w:hint="eastAsia"/>
              </w:rPr>
            </w:pPr>
            <w:r>
              <w:rPr>
                <w:sz w:val="16"/>
              </w:rPr>
              <w:t>HIGH. Strong engineering for tailored agents</w:t>
            </w:r>
          </w:p>
        </w:tc>
        <w:tc>
          <w:tcPr>
            <w:tcW w:w="2016" w:type="dxa"/>
            <w:tcMar>
              <w:top w:w="80" w:type="dxa"/>
              <w:left w:w="80" w:type="dxa"/>
              <w:bottom w:w="80" w:type="dxa"/>
              <w:right w:w="80" w:type="dxa"/>
            </w:tcMar>
          </w:tcPr>
          <w:p w14:paraId="6F8F4ABA" w14:textId="77777777" w:rsidR="006755EC" w:rsidRDefault="001B2695">
            <w:pPr>
              <w:spacing w:after="0"/>
              <w:rPr>
                <w:rFonts w:hint="eastAsia"/>
              </w:rPr>
            </w:pPr>
            <w:r>
              <w:rPr>
                <w:color w:val="F2C94C"/>
                <w:sz w:val="16"/>
              </w:rPr>
              <w:t>HIGH. Deep process and AI engineering for reimagined workflows</w:t>
            </w:r>
          </w:p>
        </w:tc>
      </w:tr>
      <w:tr w:rsidR="006755EC" w14:paraId="1A449198" w14:textId="77777777">
        <w:tc>
          <w:tcPr>
            <w:tcW w:w="2016" w:type="dxa"/>
            <w:tcMar>
              <w:top w:w="80" w:type="dxa"/>
              <w:left w:w="80" w:type="dxa"/>
              <w:bottom w:w="80" w:type="dxa"/>
              <w:right w:w="80" w:type="dxa"/>
            </w:tcMar>
          </w:tcPr>
          <w:p w14:paraId="209CC220" w14:textId="77777777" w:rsidR="006755EC" w:rsidRDefault="001B2695">
            <w:pPr>
              <w:spacing w:after="0"/>
              <w:rPr>
                <w:rFonts w:hint="eastAsia"/>
              </w:rPr>
            </w:pPr>
            <w:r>
              <w:rPr>
                <w:b/>
                <w:sz w:val="16"/>
              </w:rPr>
              <w:t>Agentic services</w:t>
            </w:r>
          </w:p>
        </w:tc>
        <w:tc>
          <w:tcPr>
            <w:tcW w:w="2016" w:type="dxa"/>
            <w:tcMar>
              <w:top w:w="80" w:type="dxa"/>
              <w:left w:w="80" w:type="dxa"/>
              <w:bottom w:w="80" w:type="dxa"/>
              <w:right w:w="80" w:type="dxa"/>
            </w:tcMar>
          </w:tcPr>
          <w:p w14:paraId="38D00B4F" w14:textId="77777777" w:rsidR="006755EC" w:rsidRDefault="001B2695">
            <w:pPr>
              <w:spacing w:after="0"/>
              <w:rPr>
                <w:rFonts w:hint="eastAsia"/>
              </w:rPr>
            </w:pPr>
            <w:r>
              <w:rPr>
                <w:sz w:val="16"/>
              </w:rPr>
              <w:t>HIGH. Core strength for enterprise agent services</w:t>
            </w:r>
          </w:p>
        </w:tc>
        <w:tc>
          <w:tcPr>
            <w:tcW w:w="2016" w:type="dxa"/>
            <w:tcMar>
              <w:top w:w="80" w:type="dxa"/>
              <w:left w:w="80" w:type="dxa"/>
              <w:bottom w:w="80" w:type="dxa"/>
              <w:right w:w="80" w:type="dxa"/>
            </w:tcMar>
          </w:tcPr>
          <w:p w14:paraId="204EACB1" w14:textId="77777777" w:rsidR="006755EC" w:rsidRDefault="001B2695">
            <w:pPr>
              <w:spacing w:after="0"/>
              <w:rPr>
                <w:rFonts w:hint="eastAsia"/>
              </w:rPr>
            </w:pPr>
            <w:r>
              <w:rPr>
                <w:sz w:val="16"/>
              </w:rPr>
              <w:t>LOW. Limited requirement</w:t>
            </w:r>
          </w:p>
        </w:tc>
        <w:tc>
          <w:tcPr>
            <w:tcW w:w="2016" w:type="dxa"/>
            <w:tcMar>
              <w:top w:w="80" w:type="dxa"/>
              <w:left w:w="80" w:type="dxa"/>
              <w:bottom w:w="80" w:type="dxa"/>
              <w:right w:w="80" w:type="dxa"/>
            </w:tcMar>
          </w:tcPr>
          <w:p w14:paraId="0543D7B9" w14:textId="77777777" w:rsidR="006755EC" w:rsidRDefault="001B2695">
            <w:pPr>
              <w:spacing w:after="0"/>
              <w:rPr>
                <w:rFonts w:hint="eastAsia"/>
              </w:rPr>
            </w:pPr>
            <w:r>
              <w:rPr>
                <w:sz w:val="16"/>
              </w:rPr>
              <w:t>HIGH. Full-stack build and orchestration</w:t>
            </w:r>
          </w:p>
        </w:tc>
        <w:tc>
          <w:tcPr>
            <w:tcW w:w="2016" w:type="dxa"/>
            <w:tcMar>
              <w:top w:w="80" w:type="dxa"/>
              <w:left w:w="80" w:type="dxa"/>
              <w:bottom w:w="80" w:type="dxa"/>
              <w:right w:w="80" w:type="dxa"/>
            </w:tcMar>
          </w:tcPr>
          <w:p w14:paraId="16B78A62" w14:textId="77777777" w:rsidR="006755EC" w:rsidRDefault="001B2695">
            <w:pPr>
              <w:spacing w:after="0"/>
              <w:rPr>
                <w:rFonts w:hint="eastAsia"/>
              </w:rPr>
            </w:pPr>
            <w:r>
              <w:rPr>
                <w:color w:val="F2C94C"/>
                <w:sz w:val="16"/>
              </w:rPr>
              <w:t>HIGH. Building multi-agents and putting them to work</w:t>
            </w:r>
          </w:p>
        </w:tc>
      </w:tr>
      <w:tr w:rsidR="006755EC" w14:paraId="4691A0FF" w14:textId="77777777">
        <w:tc>
          <w:tcPr>
            <w:tcW w:w="2016" w:type="dxa"/>
            <w:tcMar>
              <w:top w:w="80" w:type="dxa"/>
              <w:left w:w="80" w:type="dxa"/>
              <w:bottom w:w="80" w:type="dxa"/>
              <w:right w:w="80" w:type="dxa"/>
            </w:tcMar>
          </w:tcPr>
          <w:p w14:paraId="53922C57" w14:textId="77777777" w:rsidR="006755EC" w:rsidRDefault="001B2695">
            <w:pPr>
              <w:spacing w:after="0"/>
              <w:rPr>
                <w:rFonts w:hint="eastAsia"/>
              </w:rPr>
            </w:pPr>
            <w:r>
              <w:rPr>
                <w:b/>
                <w:sz w:val="16"/>
              </w:rPr>
              <w:t>Proprietary platforms</w:t>
            </w:r>
          </w:p>
        </w:tc>
        <w:tc>
          <w:tcPr>
            <w:tcW w:w="2016" w:type="dxa"/>
            <w:tcMar>
              <w:top w:w="80" w:type="dxa"/>
              <w:left w:w="80" w:type="dxa"/>
              <w:bottom w:w="80" w:type="dxa"/>
              <w:right w:w="80" w:type="dxa"/>
            </w:tcMar>
          </w:tcPr>
          <w:p w14:paraId="29BBE152" w14:textId="77777777" w:rsidR="006755EC" w:rsidRDefault="001B2695">
            <w:pPr>
              <w:spacing w:after="0"/>
              <w:rPr>
                <w:rFonts w:hint="eastAsia"/>
              </w:rPr>
            </w:pPr>
            <w:r>
              <w:rPr>
                <w:sz w:val="16"/>
              </w:rPr>
              <w:t>LOW. Hyperscaler partnerships</w:t>
            </w:r>
          </w:p>
        </w:tc>
        <w:tc>
          <w:tcPr>
            <w:tcW w:w="2016" w:type="dxa"/>
            <w:tcMar>
              <w:top w:w="80" w:type="dxa"/>
              <w:left w:w="80" w:type="dxa"/>
              <w:bottom w:w="80" w:type="dxa"/>
              <w:right w:w="80" w:type="dxa"/>
            </w:tcMar>
          </w:tcPr>
          <w:p w14:paraId="27BFC6DB" w14:textId="77777777" w:rsidR="006755EC" w:rsidRDefault="001B2695">
            <w:pPr>
              <w:spacing w:after="0"/>
              <w:rPr>
                <w:rFonts w:hint="eastAsia"/>
              </w:rPr>
            </w:pPr>
            <w:r>
              <w:rPr>
                <w:sz w:val="16"/>
              </w:rPr>
              <w:t>HIGH. Reusable agent libraries</w:t>
            </w:r>
          </w:p>
        </w:tc>
        <w:tc>
          <w:tcPr>
            <w:tcW w:w="2016" w:type="dxa"/>
            <w:tcMar>
              <w:top w:w="80" w:type="dxa"/>
              <w:left w:w="80" w:type="dxa"/>
              <w:bottom w:w="80" w:type="dxa"/>
              <w:right w:w="80" w:type="dxa"/>
            </w:tcMar>
          </w:tcPr>
          <w:p w14:paraId="033C7EA7" w14:textId="77777777" w:rsidR="006755EC" w:rsidRDefault="001B2695">
            <w:pPr>
              <w:spacing w:after="0"/>
              <w:rPr>
                <w:rFonts w:hint="eastAsia"/>
              </w:rPr>
            </w:pPr>
            <w:r>
              <w:rPr>
                <w:sz w:val="16"/>
              </w:rPr>
              <w:t>HIGH. Modular agent frameworks</w:t>
            </w:r>
          </w:p>
        </w:tc>
        <w:tc>
          <w:tcPr>
            <w:tcW w:w="2016" w:type="dxa"/>
            <w:tcMar>
              <w:top w:w="80" w:type="dxa"/>
              <w:left w:w="80" w:type="dxa"/>
              <w:bottom w:w="80" w:type="dxa"/>
              <w:right w:w="80" w:type="dxa"/>
            </w:tcMar>
          </w:tcPr>
          <w:p w14:paraId="42D37DE5" w14:textId="77777777" w:rsidR="006755EC" w:rsidRDefault="001B2695">
            <w:pPr>
              <w:spacing w:after="0"/>
              <w:rPr>
                <w:rFonts w:hint="eastAsia"/>
              </w:rPr>
            </w:pPr>
            <w:r>
              <w:rPr>
                <w:color w:val="F2C94C"/>
                <w:sz w:val="16"/>
              </w:rPr>
              <w:t>HIGH. Platform enables integrated workflow and agent transformation</w:t>
            </w:r>
          </w:p>
        </w:tc>
      </w:tr>
      <w:tr w:rsidR="006755EC" w14:paraId="20211407" w14:textId="77777777">
        <w:tc>
          <w:tcPr>
            <w:tcW w:w="2016" w:type="dxa"/>
            <w:tcMar>
              <w:top w:w="80" w:type="dxa"/>
              <w:left w:w="80" w:type="dxa"/>
              <w:bottom w:w="80" w:type="dxa"/>
              <w:right w:w="80" w:type="dxa"/>
            </w:tcMar>
          </w:tcPr>
          <w:p w14:paraId="5BDA2935" w14:textId="77777777" w:rsidR="006755EC" w:rsidRDefault="001B2695">
            <w:pPr>
              <w:spacing w:after="0"/>
              <w:rPr>
                <w:rFonts w:hint="eastAsia"/>
              </w:rPr>
            </w:pPr>
            <w:r>
              <w:rPr>
                <w:b/>
                <w:sz w:val="16"/>
              </w:rPr>
              <w:t>Talent and change management</w:t>
            </w:r>
          </w:p>
        </w:tc>
        <w:tc>
          <w:tcPr>
            <w:tcW w:w="2016" w:type="dxa"/>
            <w:tcMar>
              <w:top w:w="80" w:type="dxa"/>
              <w:left w:w="80" w:type="dxa"/>
              <w:bottom w:w="80" w:type="dxa"/>
              <w:right w:w="80" w:type="dxa"/>
            </w:tcMar>
          </w:tcPr>
          <w:p w14:paraId="5B6BB689" w14:textId="77777777" w:rsidR="006755EC" w:rsidRDefault="001B2695">
            <w:pPr>
              <w:spacing w:after="0"/>
              <w:rPr>
                <w:rFonts w:hint="eastAsia"/>
              </w:rPr>
            </w:pPr>
            <w:r>
              <w:rPr>
                <w:sz w:val="16"/>
              </w:rPr>
              <w:t>HIGH. Scaled engineering, minimal org change focus</w:t>
            </w:r>
          </w:p>
        </w:tc>
        <w:tc>
          <w:tcPr>
            <w:tcW w:w="2016" w:type="dxa"/>
            <w:tcMar>
              <w:top w:w="80" w:type="dxa"/>
              <w:left w:w="80" w:type="dxa"/>
              <w:bottom w:w="80" w:type="dxa"/>
              <w:right w:w="80" w:type="dxa"/>
            </w:tcMar>
          </w:tcPr>
          <w:p w14:paraId="4E468F45" w14:textId="77777777" w:rsidR="006755EC" w:rsidRDefault="001B2695">
            <w:pPr>
              <w:spacing w:after="0"/>
              <w:rPr>
                <w:rFonts w:hint="eastAsia"/>
              </w:rPr>
            </w:pPr>
            <w:r>
              <w:rPr>
                <w:sz w:val="16"/>
              </w:rPr>
              <w:t>LOW. Light functional talent</w:t>
            </w:r>
          </w:p>
        </w:tc>
        <w:tc>
          <w:tcPr>
            <w:tcW w:w="2016" w:type="dxa"/>
            <w:tcMar>
              <w:top w:w="80" w:type="dxa"/>
              <w:left w:w="80" w:type="dxa"/>
              <w:bottom w:w="80" w:type="dxa"/>
              <w:right w:w="80" w:type="dxa"/>
            </w:tcMar>
          </w:tcPr>
          <w:p w14:paraId="03F31A52" w14:textId="77777777" w:rsidR="006755EC" w:rsidRDefault="001B2695">
            <w:pPr>
              <w:spacing w:after="0"/>
              <w:rPr>
                <w:rFonts w:hint="eastAsia"/>
              </w:rPr>
            </w:pPr>
            <w:r>
              <w:rPr>
                <w:sz w:val="16"/>
              </w:rPr>
              <w:t>HIGH. Niche AI talent and cocreation pods</w:t>
            </w:r>
          </w:p>
        </w:tc>
        <w:tc>
          <w:tcPr>
            <w:tcW w:w="2016" w:type="dxa"/>
            <w:tcMar>
              <w:top w:w="80" w:type="dxa"/>
              <w:left w:w="80" w:type="dxa"/>
              <w:bottom w:w="80" w:type="dxa"/>
              <w:right w:w="80" w:type="dxa"/>
            </w:tcMar>
          </w:tcPr>
          <w:p w14:paraId="20455D82" w14:textId="77777777" w:rsidR="006755EC" w:rsidRDefault="001B2695">
            <w:pPr>
              <w:spacing w:after="0"/>
              <w:rPr>
                <w:rFonts w:hint="eastAsia"/>
              </w:rPr>
            </w:pPr>
            <w:r>
              <w:rPr>
                <w:color w:val="F2C94C"/>
                <w:sz w:val="16"/>
              </w:rPr>
              <w:t>HIGH. Cross-functional squads and real change management</w:t>
            </w:r>
          </w:p>
        </w:tc>
      </w:tr>
    </w:tbl>
    <w:p w14:paraId="300A152E" w14:textId="77777777" w:rsidR="006755EC" w:rsidRDefault="006755EC">
      <w:pPr>
        <w:spacing w:after="16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755EC" w14:paraId="30611EC3"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0DDB47E0" w14:textId="77777777" w:rsidR="006755EC" w:rsidRDefault="001B2695">
            <w:pPr>
              <w:spacing w:after="0"/>
              <w:rPr>
                <w:rFonts w:hint="eastAsia"/>
              </w:rPr>
            </w:pPr>
            <w:r>
              <w:rPr>
                <w:i/>
                <w:sz w:val="22"/>
              </w:rPr>
              <w:t>Ruptiv maps to End-to-End Workflow Disruptor on all five factors. No other category describes what Ruptiv does. This is the position.</w:t>
            </w:r>
          </w:p>
        </w:tc>
      </w:tr>
    </w:tbl>
    <w:p w14:paraId="18E5F622" w14:textId="77777777" w:rsidR="006755EC" w:rsidRDefault="006755EC">
      <w:pPr>
        <w:rPr>
          <w:rFonts w:hint="eastAsia"/>
        </w:rPr>
      </w:pPr>
    </w:p>
    <w:p w14:paraId="49204148" w14:textId="77777777" w:rsidR="006755EC" w:rsidRDefault="001B2695">
      <w:pPr>
        <w:spacing w:after="0"/>
        <w:rPr>
          <w:rFonts w:hint="eastAsia"/>
        </w:rPr>
      </w:pPr>
      <w:r>
        <w:rPr>
          <w:i/>
          <w:color w:val="888780"/>
          <w:sz w:val="17"/>
        </w:rPr>
        <w:t>Source: McKinsey, Agentic AI value propositions by key factors and capability strengths, April 2026.</w:t>
      </w:r>
    </w:p>
    <w:p w14:paraId="75753335"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6397D303" w14:textId="77777777">
        <w:tc>
          <w:tcPr>
            <w:tcW w:w="8640" w:type="dxa"/>
            <w:tcBorders>
              <w:top w:val="nil"/>
              <w:left w:val="nil"/>
              <w:bottom w:val="nil"/>
              <w:right w:val="nil"/>
            </w:tcBorders>
            <w:tcMar>
              <w:top w:w="0" w:type="dxa"/>
              <w:left w:w="0" w:type="dxa"/>
              <w:bottom w:w="40" w:type="dxa"/>
              <w:right w:w="0" w:type="dxa"/>
            </w:tcMar>
          </w:tcPr>
          <w:p w14:paraId="2C3A601B" w14:textId="77777777" w:rsidR="006755EC" w:rsidRDefault="001B2695">
            <w:pPr>
              <w:spacing w:after="0"/>
              <w:rPr>
                <w:rFonts w:hint="eastAsia"/>
              </w:rPr>
            </w:pPr>
            <w:r>
              <w:rPr>
                <w:b/>
                <w:color w:val="888780"/>
                <w:spacing w:val="60"/>
                <w:sz w:val="18"/>
              </w:rPr>
              <w:lastRenderedPageBreak/>
              <w:t>PAGE 08 / HOW WORK BEGINS</w:t>
            </w:r>
          </w:p>
        </w:tc>
        <w:tc>
          <w:tcPr>
            <w:tcW w:w="1440" w:type="dxa"/>
            <w:tcBorders>
              <w:top w:val="nil"/>
              <w:left w:val="nil"/>
              <w:bottom w:val="nil"/>
              <w:right w:val="nil"/>
            </w:tcBorders>
            <w:tcMar>
              <w:top w:w="0" w:type="dxa"/>
              <w:left w:w="0" w:type="dxa"/>
              <w:bottom w:w="40" w:type="dxa"/>
              <w:right w:w="0" w:type="dxa"/>
            </w:tcMar>
          </w:tcPr>
          <w:p w14:paraId="5685BC5B" w14:textId="77777777" w:rsidR="006755EC" w:rsidRDefault="001B2695">
            <w:pPr>
              <w:spacing w:after="0"/>
              <w:jc w:val="right"/>
              <w:rPr>
                <w:rFonts w:hint="eastAsia"/>
              </w:rPr>
            </w:pPr>
            <w:r>
              <w:rPr>
                <w:color w:val="888780"/>
                <w:sz w:val="18"/>
              </w:rPr>
              <w:t>09</w:t>
            </w:r>
          </w:p>
        </w:tc>
      </w:tr>
    </w:tbl>
    <w:p w14:paraId="5286FFC4" w14:textId="77777777" w:rsidR="006755EC" w:rsidRDefault="001B2695">
      <w:pPr>
        <w:pBdr>
          <w:bottom w:val="single" w:sz="4" w:space="1" w:color="1F2D4A"/>
        </w:pBdr>
        <w:spacing w:after="240"/>
        <w:rPr>
          <w:rFonts w:hint="eastAsia"/>
        </w:rPr>
      </w:pPr>
      <w:r>
        <w:t xml:space="preserve"> </w:t>
      </w:r>
    </w:p>
    <w:p w14:paraId="200EEEB4" w14:textId="77777777" w:rsidR="006755EC" w:rsidRDefault="001B2695">
      <w:pPr>
        <w:spacing w:after="120"/>
        <w:rPr>
          <w:rFonts w:hint="eastAsia"/>
        </w:rPr>
      </w:pPr>
      <w:r>
        <w:rPr>
          <w:sz w:val="44"/>
        </w:rPr>
        <w:t>How the work begins.</w:t>
      </w:r>
    </w:p>
    <w:p w14:paraId="77E82376" w14:textId="77777777" w:rsidR="006755EC" w:rsidRDefault="001B2695">
      <w:pPr>
        <w:spacing w:after="200"/>
        <w:rPr>
          <w:rFonts w:hint="eastAsia"/>
        </w:rPr>
      </w:pPr>
      <w:r>
        <w:rPr>
          <w:i/>
          <w:sz w:val="21"/>
        </w:rPr>
        <w:t>Pressure typically arrives in one of three forms.</w:t>
      </w:r>
    </w:p>
    <w:p w14:paraId="1FA56F4A" w14:textId="77777777" w:rsidR="006755EC" w:rsidRDefault="001B2695">
      <w:pPr>
        <w:rPr>
          <w:rFonts w:hint="eastAsia"/>
        </w:rPr>
      </w:pPr>
      <w:r>
        <w:rPr>
          <w:b/>
          <w:color w:val="F2C94C"/>
        </w:rPr>
        <w:t xml:space="preserve">→  </w:t>
      </w:r>
      <w:r>
        <w:rPr>
          <w:b/>
        </w:rPr>
        <w:t xml:space="preserve">A board or executive mandate to show measurable AI ROI within 12 months. </w:t>
      </w:r>
      <w:r>
        <w:t>The spend is committed. The results are not.</w:t>
      </w:r>
    </w:p>
    <w:p w14:paraId="28AB2275" w14:textId="77777777" w:rsidR="006755EC" w:rsidRDefault="001B2695">
      <w:pPr>
        <w:rPr>
          <w:rFonts w:hint="eastAsia"/>
        </w:rPr>
      </w:pPr>
      <w:r>
        <w:rPr>
          <w:b/>
          <w:color w:val="F2C94C"/>
        </w:rPr>
        <w:t xml:space="preserve">→  </w:t>
      </w:r>
      <w:r>
        <w:rPr>
          <w:b/>
        </w:rPr>
        <w:t xml:space="preserve">A failed or stalled AI initiative. </w:t>
      </w:r>
      <w:r>
        <w:t>Sunk cost. Pilot that produced a report and not a result. The patience is gone.</w:t>
      </w:r>
    </w:p>
    <w:p w14:paraId="48559B4D" w14:textId="77777777" w:rsidR="006755EC" w:rsidRDefault="001B2695">
      <w:pPr>
        <w:spacing w:after="200"/>
        <w:rPr>
          <w:rFonts w:hint="eastAsia"/>
        </w:rPr>
      </w:pPr>
      <w:r>
        <w:rPr>
          <w:b/>
          <w:color w:val="F2C94C"/>
        </w:rPr>
        <w:t xml:space="preserve">→  </w:t>
      </w:r>
      <w:r>
        <w:rPr>
          <w:b/>
        </w:rPr>
        <w:t xml:space="preserve">A structural headcount problem. </w:t>
      </w:r>
      <w:r>
        <w:t>Operating costs rising faster than revenue. Headcount tied to workflows that agents could own.</w:t>
      </w:r>
    </w:p>
    <w:p w14:paraId="1733A6AD" w14:textId="77777777" w:rsidR="006755EC" w:rsidRDefault="001B2695">
      <w:pPr>
        <w:spacing w:after="280"/>
        <w:rPr>
          <w:rFonts w:hint="eastAsia"/>
        </w:rPr>
      </w:pPr>
      <w:r>
        <w:rPr>
          <w:i/>
          <w:color w:val="F2C94C"/>
          <w:sz w:val="22"/>
        </w:rPr>
        <w:t>In every case, the constraint is not the technology. It is the workflow underneath it, unchanged.</w:t>
      </w:r>
    </w:p>
    <w:p w14:paraId="338DFC30" w14:textId="77777777" w:rsidR="006755EC" w:rsidRDefault="001B2695">
      <w:pPr>
        <w:spacing w:before="160" w:after="120"/>
        <w:rPr>
          <w:rFonts w:hint="eastAsia"/>
        </w:rPr>
      </w:pPr>
      <w:r>
        <w:rPr>
          <w:sz w:val="44"/>
        </w:rPr>
        <w:t>What Ruptiv is not.</w:t>
      </w:r>
    </w:p>
    <w:p w14:paraId="69107FE6" w14:textId="77777777" w:rsidR="006755EC" w:rsidRDefault="001B2695">
      <w:pPr>
        <w:spacing w:after="200"/>
        <w:rPr>
          <w:rFonts w:hint="eastAsia"/>
        </w:rPr>
      </w:pPr>
      <w:r>
        <w:rPr>
          <w:i/>
          <w:sz w:val="21"/>
        </w:rPr>
        <w:t>Positioning requires knowing what to exclude.</w:t>
      </w:r>
    </w:p>
    <w:p w14:paraId="390778D1" w14:textId="77777777" w:rsidR="006755EC" w:rsidRDefault="001B2695">
      <w:pPr>
        <w:rPr>
          <w:rFonts w:hint="eastAsia"/>
        </w:rPr>
      </w:pPr>
      <w:r>
        <w:rPr>
          <w:b/>
          <w:color w:val="F2C94C"/>
        </w:rPr>
        <w:t xml:space="preserve">→  </w:t>
      </w:r>
      <w:r>
        <w:t>Ruptiv is not a consulting firm. It does not deliver strategy documents and exit. It installs Listening Systems and stays until the cost line moves.</w:t>
      </w:r>
    </w:p>
    <w:p w14:paraId="6EB2B0BB" w14:textId="77777777" w:rsidR="006755EC" w:rsidRDefault="001B2695">
      <w:pPr>
        <w:rPr>
          <w:rFonts w:hint="eastAsia"/>
        </w:rPr>
      </w:pPr>
      <w:r>
        <w:rPr>
          <w:b/>
          <w:color w:val="F2C94C"/>
        </w:rPr>
        <w:t xml:space="preserve">→  </w:t>
      </w:r>
      <w:r>
        <w:t>Ruptiv is not a SaaS vendor. It does not sell platform subscriptions and leave the client to figure out the outcome. It embeds cross-functional squads inside the organization.</w:t>
      </w:r>
    </w:p>
    <w:p w14:paraId="5832E8B9" w14:textId="77777777" w:rsidR="006755EC" w:rsidRDefault="001B2695">
      <w:pPr>
        <w:rPr>
          <w:rFonts w:hint="eastAsia"/>
        </w:rPr>
      </w:pPr>
      <w:r>
        <w:rPr>
          <w:b/>
          <w:color w:val="F2C94C"/>
        </w:rPr>
        <w:t xml:space="preserve">→  </w:t>
      </w:r>
      <w:r>
        <w:t>Ruptiv is not a systems integrator. It does not connect existing tools to each other. It rebuilds the workflow itself, with agents at the center.</w:t>
      </w:r>
    </w:p>
    <w:p w14:paraId="3416E589" w14:textId="77777777" w:rsidR="006755EC" w:rsidRDefault="001B2695">
      <w:pPr>
        <w:rPr>
          <w:rFonts w:hint="eastAsia"/>
        </w:rPr>
      </w:pPr>
      <w:r>
        <w:rPr>
          <w:b/>
          <w:color w:val="F2C94C"/>
        </w:rPr>
        <w:t xml:space="preserve">→  </w:t>
      </w:r>
      <w:r>
        <w:t>Ruptiv is not an agentic AI enabler. It does not provide foundational infrastructure for others to build on. It builds the outcome, measures it, and invoices accordingly.</w:t>
      </w:r>
    </w:p>
    <w:p w14:paraId="6D709AEC" w14:textId="77777777" w:rsidR="006755EC" w:rsidRDefault="001B2695">
      <w:pPr>
        <w:spacing w:after="0"/>
        <w:rPr>
          <w:rFonts w:hint="eastAsia"/>
        </w:rPr>
      </w:pPr>
      <w:r>
        <w:rPr>
          <w:i/>
          <w:color w:val="888780"/>
          <w:sz w:val="19"/>
        </w:rPr>
        <w:t>McKinsey maps four positions in the agentic AI market. Three describe what Ruptiv is not. The fourth, End-to-End Workflow Disruptor, is the position Ruptiv holds.</w:t>
      </w:r>
    </w:p>
    <w:p w14:paraId="13F44DFE"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53BC8FE8" w14:textId="77777777">
        <w:tc>
          <w:tcPr>
            <w:tcW w:w="8640" w:type="dxa"/>
            <w:tcBorders>
              <w:top w:val="nil"/>
              <w:left w:val="nil"/>
              <w:bottom w:val="nil"/>
              <w:right w:val="nil"/>
            </w:tcBorders>
            <w:tcMar>
              <w:top w:w="0" w:type="dxa"/>
              <w:left w:w="0" w:type="dxa"/>
              <w:bottom w:w="40" w:type="dxa"/>
              <w:right w:w="0" w:type="dxa"/>
            </w:tcMar>
          </w:tcPr>
          <w:p w14:paraId="1E60BF4D" w14:textId="77777777" w:rsidR="006755EC" w:rsidRDefault="001B2695">
            <w:pPr>
              <w:spacing w:after="0"/>
              <w:rPr>
                <w:rFonts w:hint="eastAsia"/>
              </w:rPr>
            </w:pPr>
            <w:r>
              <w:rPr>
                <w:b/>
                <w:color w:val="888780"/>
                <w:spacing w:val="60"/>
                <w:sz w:val="18"/>
              </w:rPr>
              <w:lastRenderedPageBreak/>
              <w:t>PAGE 09 / VOICE AND AUDIENCE</w:t>
            </w:r>
          </w:p>
        </w:tc>
        <w:tc>
          <w:tcPr>
            <w:tcW w:w="1440" w:type="dxa"/>
            <w:tcBorders>
              <w:top w:val="nil"/>
              <w:left w:val="nil"/>
              <w:bottom w:val="nil"/>
              <w:right w:val="nil"/>
            </w:tcBorders>
            <w:tcMar>
              <w:top w:w="0" w:type="dxa"/>
              <w:left w:w="0" w:type="dxa"/>
              <w:bottom w:w="40" w:type="dxa"/>
              <w:right w:w="0" w:type="dxa"/>
            </w:tcMar>
          </w:tcPr>
          <w:p w14:paraId="00979F07" w14:textId="77777777" w:rsidR="006755EC" w:rsidRDefault="001B2695">
            <w:pPr>
              <w:spacing w:after="0"/>
              <w:jc w:val="right"/>
              <w:rPr>
                <w:rFonts w:hint="eastAsia"/>
              </w:rPr>
            </w:pPr>
            <w:r>
              <w:rPr>
                <w:color w:val="888780"/>
                <w:sz w:val="18"/>
              </w:rPr>
              <w:t>10</w:t>
            </w:r>
          </w:p>
        </w:tc>
      </w:tr>
    </w:tbl>
    <w:p w14:paraId="03E99240" w14:textId="77777777" w:rsidR="006755EC" w:rsidRDefault="001B2695">
      <w:pPr>
        <w:pBdr>
          <w:bottom w:val="single" w:sz="4" w:space="1" w:color="1F2D4A"/>
        </w:pBdr>
        <w:spacing w:after="240"/>
        <w:rPr>
          <w:rFonts w:hint="eastAsia"/>
        </w:rPr>
      </w:pPr>
      <w:r>
        <w:t xml:space="preserve"> </w:t>
      </w:r>
    </w:p>
    <w:p w14:paraId="329C4D75" w14:textId="77777777" w:rsidR="006755EC" w:rsidRDefault="001B2695">
      <w:pPr>
        <w:spacing w:after="120"/>
        <w:rPr>
          <w:rFonts w:hint="eastAsia"/>
        </w:rPr>
      </w:pPr>
      <w:r>
        <w:rPr>
          <w:sz w:val="44"/>
        </w:rPr>
        <w:t>How Ruptiv speaks.</w:t>
      </w:r>
    </w:p>
    <w:p w14:paraId="315461CA" w14:textId="77777777" w:rsidR="006755EC" w:rsidRDefault="001B2695">
      <w:pPr>
        <w:spacing w:after="200"/>
        <w:rPr>
          <w:rFonts w:hint="eastAsia"/>
        </w:rPr>
      </w:pPr>
      <w:r>
        <w:rPr>
          <w:i/>
          <w:sz w:val="21"/>
        </w:rPr>
        <w:t>Short. Specific. Outcome-focused. The register of a firm that has done the work and has the numbers.</w:t>
      </w:r>
    </w:p>
    <w:tbl>
      <w:tblPr>
        <w:tblW w:w="0" w:type="auto"/>
        <w:tblBorders>
          <w:top w:val="nil"/>
          <w:left w:val="nil"/>
          <w:bottom w:val="nil"/>
          <w:right w:val="nil"/>
          <w:insideH w:val="nil"/>
          <w:insideV w:val="nil"/>
        </w:tblBorders>
        <w:tblLook w:val="04A0" w:firstRow="1" w:lastRow="0" w:firstColumn="1" w:lastColumn="0" w:noHBand="0" w:noVBand="1"/>
      </w:tblPr>
      <w:tblGrid>
        <w:gridCol w:w="5040"/>
        <w:gridCol w:w="5040"/>
      </w:tblGrid>
      <w:tr w:rsidR="006755EC" w14:paraId="395AB5C2" w14:textId="77777777">
        <w:tc>
          <w:tcPr>
            <w:tcW w:w="5040" w:type="dxa"/>
            <w:tcMar>
              <w:top w:w="80" w:type="dxa"/>
              <w:left w:w="80" w:type="dxa"/>
              <w:bottom w:w="80" w:type="dxa"/>
              <w:right w:w="80" w:type="dxa"/>
            </w:tcMar>
          </w:tcPr>
          <w:p w14:paraId="0D384586" w14:textId="77777777" w:rsidR="006755EC" w:rsidRDefault="001B2695">
            <w:pPr>
              <w:spacing w:after="0"/>
              <w:rPr>
                <w:rFonts w:hint="eastAsia"/>
              </w:rPr>
            </w:pPr>
            <w:r>
              <w:rPr>
                <w:b/>
                <w:color w:val="4FC3DC"/>
                <w:spacing w:val="50"/>
                <w:sz w:val="18"/>
              </w:rPr>
              <w:t>RUPTIV DOES NOT SAY</w:t>
            </w:r>
          </w:p>
        </w:tc>
        <w:tc>
          <w:tcPr>
            <w:tcW w:w="5040" w:type="dxa"/>
            <w:tcMar>
              <w:top w:w="80" w:type="dxa"/>
              <w:left w:w="80" w:type="dxa"/>
              <w:bottom w:w="80" w:type="dxa"/>
              <w:right w:w="80" w:type="dxa"/>
            </w:tcMar>
          </w:tcPr>
          <w:p w14:paraId="42CFCF91" w14:textId="77777777" w:rsidR="006755EC" w:rsidRDefault="001B2695">
            <w:pPr>
              <w:spacing w:after="0"/>
              <w:rPr>
                <w:rFonts w:hint="eastAsia"/>
              </w:rPr>
            </w:pPr>
            <w:r>
              <w:rPr>
                <w:b/>
                <w:color w:val="4FC3DC"/>
                <w:spacing w:val="50"/>
                <w:sz w:val="18"/>
              </w:rPr>
              <w:t>RUPTIV SAYS</w:t>
            </w:r>
          </w:p>
        </w:tc>
      </w:tr>
      <w:tr w:rsidR="006755EC" w14:paraId="74F8011F" w14:textId="77777777">
        <w:tc>
          <w:tcPr>
            <w:tcW w:w="5040" w:type="dxa"/>
            <w:tcMar>
              <w:top w:w="80" w:type="dxa"/>
              <w:left w:w="80" w:type="dxa"/>
              <w:bottom w:w="80" w:type="dxa"/>
              <w:right w:w="80" w:type="dxa"/>
            </w:tcMar>
          </w:tcPr>
          <w:p w14:paraId="67FBA346" w14:textId="77777777" w:rsidR="006755EC" w:rsidRDefault="001B2695">
            <w:pPr>
              <w:spacing w:after="0"/>
              <w:rPr>
                <w:rFonts w:hint="eastAsia"/>
              </w:rPr>
            </w:pPr>
            <w:r>
              <w:rPr>
                <w:i/>
                <w:color w:val="888780"/>
                <w:sz w:val="19"/>
              </w:rPr>
              <w:t>Leveraging AI to drive transformational outcomes</w:t>
            </w:r>
          </w:p>
        </w:tc>
        <w:tc>
          <w:tcPr>
            <w:tcW w:w="5040" w:type="dxa"/>
            <w:tcMar>
              <w:top w:w="80" w:type="dxa"/>
              <w:left w:w="80" w:type="dxa"/>
              <w:bottom w:w="80" w:type="dxa"/>
              <w:right w:w="80" w:type="dxa"/>
            </w:tcMar>
          </w:tcPr>
          <w:p w14:paraId="3BB39F6E" w14:textId="77777777" w:rsidR="006755EC" w:rsidRDefault="001B2695">
            <w:pPr>
              <w:spacing w:after="0"/>
              <w:rPr>
                <w:rFonts w:hint="eastAsia"/>
              </w:rPr>
            </w:pPr>
            <w:r>
              <w:rPr>
                <w:sz w:val="19"/>
              </w:rPr>
              <w:t>We evolve workflows from headcount-executed to agent-executed</w:t>
            </w:r>
          </w:p>
        </w:tc>
      </w:tr>
      <w:tr w:rsidR="006755EC" w14:paraId="6D2F9F45" w14:textId="77777777">
        <w:tc>
          <w:tcPr>
            <w:tcW w:w="5040" w:type="dxa"/>
            <w:tcMar>
              <w:top w:w="80" w:type="dxa"/>
              <w:left w:w="80" w:type="dxa"/>
              <w:bottom w:w="80" w:type="dxa"/>
              <w:right w:w="80" w:type="dxa"/>
            </w:tcMar>
          </w:tcPr>
          <w:p w14:paraId="694FEB02" w14:textId="77777777" w:rsidR="006755EC" w:rsidRDefault="001B2695">
            <w:pPr>
              <w:spacing w:after="0"/>
              <w:rPr>
                <w:rFonts w:hint="eastAsia"/>
              </w:rPr>
            </w:pPr>
            <w:r>
              <w:rPr>
                <w:i/>
                <w:color w:val="888780"/>
                <w:sz w:val="19"/>
              </w:rPr>
              <w:t>Architecting intelligent enterprise solutions</w:t>
            </w:r>
          </w:p>
        </w:tc>
        <w:tc>
          <w:tcPr>
            <w:tcW w:w="5040" w:type="dxa"/>
            <w:tcMar>
              <w:top w:w="80" w:type="dxa"/>
              <w:left w:w="80" w:type="dxa"/>
              <w:bottom w:w="80" w:type="dxa"/>
              <w:right w:w="80" w:type="dxa"/>
            </w:tcMar>
          </w:tcPr>
          <w:p w14:paraId="39F7A988" w14:textId="77777777" w:rsidR="006755EC" w:rsidRDefault="001B2695">
            <w:pPr>
              <w:spacing w:after="0"/>
              <w:rPr>
                <w:rFonts w:hint="eastAsia"/>
              </w:rPr>
            </w:pPr>
            <w:r>
              <w:rPr>
                <w:sz w:val="19"/>
              </w:rPr>
              <w:t>We agree the baseline before any work starts</w:t>
            </w:r>
          </w:p>
        </w:tc>
      </w:tr>
      <w:tr w:rsidR="006755EC" w14:paraId="0A5C6212" w14:textId="77777777">
        <w:tc>
          <w:tcPr>
            <w:tcW w:w="5040" w:type="dxa"/>
            <w:tcMar>
              <w:top w:w="80" w:type="dxa"/>
              <w:left w:w="80" w:type="dxa"/>
              <w:bottom w:w="80" w:type="dxa"/>
              <w:right w:w="80" w:type="dxa"/>
            </w:tcMar>
          </w:tcPr>
          <w:p w14:paraId="56FE043D" w14:textId="77777777" w:rsidR="006755EC" w:rsidRDefault="001B2695">
            <w:pPr>
              <w:spacing w:after="0"/>
              <w:rPr>
                <w:rFonts w:hint="eastAsia"/>
              </w:rPr>
            </w:pPr>
            <w:r>
              <w:rPr>
                <w:i/>
                <w:color w:val="888780"/>
                <w:sz w:val="19"/>
              </w:rPr>
              <w:t>Partnering with clients on their AI journey</w:t>
            </w:r>
          </w:p>
        </w:tc>
        <w:tc>
          <w:tcPr>
            <w:tcW w:w="5040" w:type="dxa"/>
            <w:tcMar>
              <w:top w:w="80" w:type="dxa"/>
              <w:left w:w="80" w:type="dxa"/>
              <w:bottom w:w="80" w:type="dxa"/>
              <w:right w:w="80" w:type="dxa"/>
            </w:tcMar>
          </w:tcPr>
          <w:p w14:paraId="69F580D5" w14:textId="77777777" w:rsidR="006755EC" w:rsidRDefault="001B2695">
            <w:pPr>
              <w:spacing w:after="0"/>
              <w:rPr>
                <w:rFonts w:hint="eastAsia"/>
              </w:rPr>
            </w:pPr>
            <w:r>
              <w:rPr>
                <w:sz w:val="19"/>
              </w:rPr>
              <w:t>We invoice when the cost line moves</w:t>
            </w:r>
          </w:p>
        </w:tc>
      </w:tr>
      <w:tr w:rsidR="006755EC" w14:paraId="42FAF3C2" w14:textId="77777777">
        <w:tc>
          <w:tcPr>
            <w:tcW w:w="5040" w:type="dxa"/>
            <w:tcMar>
              <w:top w:w="80" w:type="dxa"/>
              <w:left w:w="80" w:type="dxa"/>
              <w:bottom w:w="80" w:type="dxa"/>
              <w:right w:w="80" w:type="dxa"/>
            </w:tcMar>
          </w:tcPr>
          <w:p w14:paraId="152AF53A" w14:textId="77777777" w:rsidR="006755EC" w:rsidRDefault="001B2695">
            <w:pPr>
              <w:spacing w:after="0"/>
              <w:rPr>
                <w:rFonts w:hint="eastAsia"/>
              </w:rPr>
            </w:pPr>
            <w:r>
              <w:rPr>
                <w:i/>
                <w:color w:val="888780"/>
                <w:sz w:val="19"/>
              </w:rPr>
              <w:t>Enabling organizations to unlock AI potential</w:t>
            </w:r>
          </w:p>
        </w:tc>
        <w:tc>
          <w:tcPr>
            <w:tcW w:w="5040" w:type="dxa"/>
            <w:tcMar>
              <w:top w:w="80" w:type="dxa"/>
              <w:left w:w="80" w:type="dxa"/>
              <w:bottom w:w="80" w:type="dxa"/>
              <w:right w:w="80" w:type="dxa"/>
            </w:tcMar>
          </w:tcPr>
          <w:p w14:paraId="2C0E7DC0" w14:textId="77777777" w:rsidR="006755EC" w:rsidRDefault="001B2695">
            <w:pPr>
              <w:spacing w:after="0"/>
              <w:rPr>
                <w:rFonts w:hint="eastAsia"/>
              </w:rPr>
            </w:pPr>
            <w:r>
              <w:rPr>
                <w:sz w:val="19"/>
              </w:rPr>
              <w:t>First Sparring Partner live in x# of days</w:t>
            </w:r>
          </w:p>
        </w:tc>
      </w:tr>
      <w:tr w:rsidR="006755EC" w14:paraId="5760462E" w14:textId="77777777">
        <w:tc>
          <w:tcPr>
            <w:tcW w:w="5040" w:type="dxa"/>
            <w:tcMar>
              <w:top w:w="80" w:type="dxa"/>
              <w:left w:w="80" w:type="dxa"/>
              <w:bottom w:w="80" w:type="dxa"/>
              <w:right w:w="80" w:type="dxa"/>
            </w:tcMar>
          </w:tcPr>
          <w:p w14:paraId="30663E7B" w14:textId="77777777" w:rsidR="006755EC" w:rsidRDefault="001B2695">
            <w:pPr>
              <w:spacing w:after="0"/>
              <w:rPr>
                <w:rFonts w:hint="eastAsia"/>
              </w:rPr>
            </w:pPr>
            <w:r>
              <w:rPr>
                <w:i/>
                <w:color w:val="888780"/>
                <w:sz w:val="19"/>
              </w:rPr>
              <w:t>Delivering cutting-edge agentic transformation</w:t>
            </w:r>
          </w:p>
        </w:tc>
        <w:tc>
          <w:tcPr>
            <w:tcW w:w="5040" w:type="dxa"/>
            <w:tcMar>
              <w:top w:w="80" w:type="dxa"/>
              <w:left w:w="80" w:type="dxa"/>
              <w:bottom w:w="80" w:type="dxa"/>
              <w:right w:w="80" w:type="dxa"/>
            </w:tcMar>
          </w:tcPr>
          <w:p w14:paraId="5D77C8D4" w14:textId="77777777" w:rsidR="006755EC" w:rsidRDefault="001B2695">
            <w:pPr>
              <w:spacing w:after="0"/>
              <w:rPr>
                <w:rFonts w:hint="eastAsia"/>
              </w:rPr>
            </w:pPr>
            <w:r>
              <w:rPr>
                <w:sz w:val="19"/>
              </w:rPr>
              <w:t>The operating model becomes queryable in Atlas View</w:t>
            </w:r>
          </w:p>
        </w:tc>
      </w:tr>
    </w:tbl>
    <w:p w14:paraId="23713265" w14:textId="77777777" w:rsidR="006755EC" w:rsidRDefault="006755EC">
      <w:pPr>
        <w:spacing w:after="240"/>
        <w:rPr>
          <w:rFonts w:hint="eastAsia"/>
        </w:rPr>
      </w:pPr>
    </w:p>
    <w:p w14:paraId="48A724CF" w14:textId="77777777" w:rsidR="006755EC" w:rsidRDefault="001B2695">
      <w:pPr>
        <w:spacing w:before="80" w:after="120"/>
        <w:rPr>
          <w:rFonts w:hint="eastAsia"/>
        </w:rPr>
      </w:pPr>
      <w:r>
        <w:rPr>
          <w:sz w:val="44"/>
        </w:rPr>
        <w:t>Core audience.</w:t>
      </w:r>
    </w:p>
    <w:tbl>
      <w:tblPr>
        <w:tblW w:w="0" w:type="auto"/>
        <w:tblBorders>
          <w:top w:val="nil"/>
          <w:left w:val="nil"/>
          <w:bottom w:val="nil"/>
          <w:right w:val="nil"/>
          <w:insideH w:val="nil"/>
          <w:insideV w:val="nil"/>
        </w:tblBorders>
        <w:tblLook w:val="04A0" w:firstRow="1" w:lastRow="0" w:firstColumn="1" w:lastColumn="0" w:noHBand="0" w:noVBand="1"/>
      </w:tblPr>
      <w:tblGrid>
        <w:gridCol w:w="2299"/>
        <w:gridCol w:w="7751"/>
      </w:tblGrid>
      <w:tr w:rsidR="006755EC" w14:paraId="2DC80798"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4F3BE40D" w14:textId="77777777" w:rsidR="006755EC" w:rsidRDefault="001B2695">
            <w:pPr>
              <w:spacing w:after="0"/>
              <w:rPr>
                <w:rFonts w:hint="eastAsia"/>
              </w:rPr>
            </w:pPr>
            <w:r>
              <w:rPr>
                <w:b/>
                <w:color w:val="4FC3DC"/>
                <w:spacing w:val="50"/>
                <w:sz w:val="18"/>
              </w:rPr>
              <w:t>TITLES</w:t>
            </w:r>
          </w:p>
        </w:tc>
        <w:tc>
          <w:tcPr>
            <w:tcW w:w="7776" w:type="dxa"/>
            <w:tcBorders>
              <w:top w:val="nil"/>
              <w:left w:val="nil"/>
              <w:bottom w:val="nil"/>
              <w:right w:val="nil"/>
            </w:tcBorders>
            <w:shd w:val="clear" w:color="auto" w:fill="1F2D4A"/>
            <w:tcMar>
              <w:top w:w="120" w:type="dxa"/>
              <w:left w:w="60" w:type="dxa"/>
              <w:bottom w:w="120" w:type="dxa"/>
              <w:right w:w="180" w:type="dxa"/>
            </w:tcMar>
          </w:tcPr>
          <w:p w14:paraId="47A8B22B" w14:textId="77777777" w:rsidR="006755EC" w:rsidRDefault="001B2695">
            <w:pPr>
              <w:spacing w:after="0"/>
              <w:rPr>
                <w:rFonts w:hint="eastAsia"/>
              </w:rPr>
            </w:pPr>
            <w:r>
              <w:rPr>
                <w:sz w:val="19"/>
              </w:rPr>
              <w:t>COOs, CTOs, CIOs, Chief Digital Officers, Chief Transformation Officers, VPs of Operations, Heads of Shared Services.</w:t>
            </w:r>
          </w:p>
        </w:tc>
      </w:tr>
    </w:tbl>
    <w:p w14:paraId="6DD8223D"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4"/>
        <w:gridCol w:w="7746"/>
      </w:tblGrid>
      <w:tr w:rsidR="006755EC" w14:paraId="3224A534"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17A67E11" w14:textId="77777777" w:rsidR="006755EC" w:rsidRDefault="001B2695">
            <w:pPr>
              <w:spacing w:after="0"/>
              <w:rPr>
                <w:rFonts w:hint="eastAsia"/>
              </w:rPr>
            </w:pPr>
            <w:r>
              <w:rPr>
                <w:b/>
                <w:color w:val="4FC3DC"/>
                <w:spacing w:val="50"/>
                <w:sz w:val="18"/>
              </w:rPr>
              <w:t>ORGANIZATIONS</w:t>
            </w:r>
          </w:p>
        </w:tc>
        <w:tc>
          <w:tcPr>
            <w:tcW w:w="7776" w:type="dxa"/>
            <w:tcBorders>
              <w:top w:val="nil"/>
              <w:left w:val="nil"/>
              <w:bottom w:val="nil"/>
              <w:right w:val="nil"/>
            </w:tcBorders>
            <w:shd w:val="clear" w:color="auto" w:fill="1F2D4A"/>
            <w:tcMar>
              <w:top w:w="120" w:type="dxa"/>
              <w:left w:w="60" w:type="dxa"/>
              <w:bottom w:w="120" w:type="dxa"/>
              <w:right w:w="180" w:type="dxa"/>
            </w:tcMar>
          </w:tcPr>
          <w:p w14:paraId="693F080C" w14:textId="77777777" w:rsidR="006755EC" w:rsidRDefault="001B2695">
            <w:pPr>
              <w:spacing w:after="0"/>
              <w:rPr>
                <w:rFonts w:hint="eastAsia"/>
              </w:rPr>
            </w:pPr>
            <w:r>
              <w:rPr>
                <w:sz w:val="19"/>
              </w:rPr>
              <w:t>Fortune 500 enterprises in financial services, operations, procurement, shared services, IT, and HR functions where workflow cost is highest and most measurable.</w:t>
            </w:r>
          </w:p>
        </w:tc>
      </w:tr>
    </w:tbl>
    <w:p w14:paraId="42E2847F"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1"/>
        <w:gridCol w:w="7749"/>
      </w:tblGrid>
      <w:tr w:rsidR="006755EC" w14:paraId="6025319D"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0701D65B" w14:textId="77777777" w:rsidR="006755EC" w:rsidRDefault="001B2695">
            <w:pPr>
              <w:spacing w:after="0"/>
              <w:rPr>
                <w:rFonts w:hint="eastAsia"/>
              </w:rPr>
            </w:pPr>
            <w:r>
              <w:rPr>
                <w:b/>
                <w:color w:val="4FC3DC"/>
                <w:spacing w:val="50"/>
                <w:sz w:val="18"/>
              </w:rPr>
              <w:t>SITUATION</w:t>
            </w:r>
          </w:p>
        </w:tc>
        <w:tc>
          <w:tcPr>
            <w:tcW w:w="7776" w:type="dxa"/>
            <w:tcBorders>
              <w:top w:val="nil"/>
              <w:left w:val="nil"/>
              <w:bottom w:val="nil"/>
              <w:right w:val="nil"/>
            </w:tcBorders>
            <w:shd w:val="clear" w:color="auto" w:fill="1F2D4A"/>
            <w:tcMar>
              <w:top w:w="120" w:type="dxa"/>
              <w:left w:w="60" w:type="dxa"/>
              <w:bottom w:w="120" w:type="dxa"/>
              <w:right w:w="180" w:type="dxa"/>
            </w:tcMar>
          </w:tcPr>
          <w:p w14:paraId="6C8908D8" w14:textId="77777777" w:rsidR="006755EC" w:rsidRDefault="001B2695">
            <w:pPr>
              <w:spacing w:after="0"/>
              <w:rPr>
                <w:rFonts w:hint="eastAsia"/>
              </w:rPr>
            </w:pPr>
            <w:r>
              <w:rPr>
                <w:sz w:val="19"/>
              </w:rPr>
              <w:t>AI spend is rising. The cost line is not moving. The board wants proof within 12 months.</w:t>
            </w:r>
          </w:p>
        </w:tc>
      </w:tr>
    </w:tbl>
    <w:p w14:paraId="0DED4AA6"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755EC" w14:paraId="29BE6ED7"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63558A62" w14:textId="77777777" w:rsidR="006755EC" w:rsidRDefault="001B2695">
            <w:pPr>
              <w:spacing w:after="0"/>
              <w:rPr>
                <w:rFonts w:hint="eastAsia"/>
              </w:rPr>
            </w:pPr>
            <w:r>
              <w:rPr>
                <w:b/>
                <w:color w:val="4FC3DC"/>
                <w:spacing w:val="50"/>
                <w:sz w:val="18"/>
              </w:rPr>
              <w:t>PROFILE</w:t>
            </w:r>
          </w:p>
        </w:tc>
        <w:tc>
          <w:tcPr>
            <w:tcW w:w="7776" w:type="dxa"/>
            <w:tcBorders>
              <w:top w:val="nil"/>
              <w:left w:val="nil"/>
              <w:bottom w:val="nil"/>
              <w:right w:val="nil"/>
            </w:tcBorders>
            <w:shd w:val="clear" w:color="auto" w:fill="1F2D4A"/>
            <w:tcMar>
              <w:top w:w="120" w:type="dxa"/>
              <w:left w:w="60" w:type="dxa"/>
              <w:bottom w:w="120" w:type="dxa"/>
              <w:right w:w="180" w:type="dxa"/>
            </w:tcMar>
          </w:tcPr>
          <w:p w14:paraId="63AAC7C3" w14:textId="77777777" w:rsidR="006755EC" w:rsidRDefault="001B2695">
            <w:pPr>
              <w:spacing w:after="0"/>
              <w:rPr>
                <w:rFonts w:hint="eastAsia"/>
              </w:rPr>
            </w:pPr>
            <w:r>
              <w:rPr>
                <w:sz w:val="19"/>
              </w:rPr>
              <w:t>Has tried AI. Has the scars. Needs outcomes, not another pilot. Willing to pay for a Diagnostic Engagement because the alternative, another failed initiative, costs more.</w:t>
            </w:r>
          </w:p>
        </w:tc>
      </w:tr>
    </w:tbl>
    <w:p w14:paraId="09AEF045"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299"/>
        <w:gridCol w:w="7751"/>
      </w:tblGrid>
      <w:tr w:rsidR="006755EC" w14:paraId="17107341"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17444975" w14:textId="77777777" w:rsidR="006755EC" w:rsidRDefault="001B2695">
            <w:pPr>
              <w:spacing w:after="0"/>
              <w:rPr>
                <w:rFonts w:hint="eastAsia"/>
              </w:rPr>
            </w:pPr>
            <w:r>
              <w:rPr>
                <w:b/>
                <w:color w:val="4FC3DC"/>
                <w:spacing w:val="50"/>
                <w:sz w:val="18"/>
              </w:rPr>
              <w:t>FEAR</w:t>
            </w:r>
          </w:p>
        </w:tc>
        <w:tc>
          <w:tcPr>
            <w:tcW w:w="7776" w:type="dxa"/>
            <w:tcBorders>
              <w:top w:val="nil"/>
              <w:left w:val="nil"/>
              <w:bottom w:val="nil"/>
              <w:right w:val="nil"/>
            </w:tcBorders>
            <w:shd w:val="clear" w:color="auto" w:fill="1F2D4A"/>
            <w:tcMar>
              <w:top w:w="120" w:type="dxa"/>
              <w:left w:w="60" w:type="dxa"/>
              <w:bottom w:w="120" w:type="dxa"/>
              <w:right w:w="180" w:type="dxa"/>
            </w:tcMar>
          </w:tcPr>
          <w:p w14:paraId="31C2BE6F" w14:textId="77777777" w:rsidR="006755EC" w:rsidRDefault="001B2695">
            <w:pPr>
              <w:spacing w:after="0"/>
              <w:rPr>
                <w:rFonts w:hint="eastAsia"/>
              </w:rPr>
            </w:pPr>
            <w:r>
              <w:rPr>
                <w:sz w:val="19"/>
              </w:rPr>
              <w:t>Paying another vendor who delivers a presentation and disappears. Spending $7.2M on an average failed AI initiative with nothing to show the board.</w:t>
            </w:r>
          </w:p>
        </w:tc>
      </w:tr>
    </w:tbl>
    <w:p w14:paraId="6D2250AA" w14:textId="77777777" w:rsidR="006755EC" w:rsidRDefault="006755EC">
      <w:pPr>
        <w:spacing w:after="40"/>
        <w:rPr>
          <w:rFonts w:hint="eastAsia"/>
        </w:rPr>
      </w:pPr>
    </w:p>
    <w:p w14:paraId="587D719B"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0ED61F4A" w14:textId="77777777">
        <w:tc>
          <w:tcPr>
            <w:tcW w:w="8640" w:type="dxa"/>
            <w:tcBorders>
              <w:top w:val="nil"/>
              <w:left w:val="nil"/>
              <w:bottom w:val="nil"/>
              <w:right w:val="nil"/>
            </w:tcBorders>
            <w:tcMar>
              <w:top w:w="0" w:type="dxa"/>
              <w:left w:w="0" w:type="dxa"/>
              <w:bottom w:w="40" w:type="dxa"/>
              <w:right w:w="0" w:type="dxa"/>
            </w:tcMar>
          </w:tcPr>
          <w:p w14:paraId="5F7C3E38" w14:textId="77777777" w:rsidR="006755EC" w:rsidRDefault="001B2695">
            <w:pPr>
              <w:spacing w:after="0"/>
              <w:rPr>
                <w:rFonts w:hint="eastAsia"/>
              </w:rPr>
            </w:pPr>
            <w:r>
              <w:rPr>
                <w:b/>
                <w:color w:val="888780"/>
                <w:spacing w:val="60"/>
                <w:sz w:val="18"/>
              </w:rPr>
              <w:lastRenderedPageBreak/>
              <w:t>PAGE 10 / MARKET CONTEXT</w:t>
            </w:r>
          </w:p>
        </w:tc>
        <w:tc>
          <w:tcPr>
            <w:tcW w:w="1440" w:type="dxa"/>
            <w:tcBorders>
              <w:top w:val="nil"/>
              <w:left w:val="nil"/>
              <w:bottom w:val="nil"/>
              <w:right w:val="nil"/>
            </w:tcBorders>
            <w:tcMar>
              <w:top w:w="0" w:type="dxa"/>
              <w:left w:w="0" w:type="dxa"/>
              <w:bottom w:w="40" w:type="dxa"/>
              <w:right w:w="0" w:type="dxa"/>
            </w:tcMar>
          </w:tcPr>
          <w:p w14:paraId="3C6BCE4C" w14:textId="77777777" w:rsidR="006755EC" w:rsidRDefault="001B2695">
            <w:pPr>
              <w:spacing w:after="0"/>
              <w:jc w:val="right"/>
              <w:rPr>
                <w:rFonts w:hint="eastAsia"/>
              </w:rPr>
            </w:pPr>
            <w:r>
              <w:rPr>
                <w:color w:val="888780"/>
                <w:sz w:val="18"/>
              </w:rPr>
              <w:t>11</w:t>
            </w:r>
          </w:p>
        </w:tc>
      </w:tr>
    </w:tbl>
    <w:p w14:paraId="477B2004" w14:textId="77777777" w:rsidR="006755EC" w:rsidRDefault="001B2695">
      <w:pPr>
        <w:pBdr>
          <w:bottom w:val="single" w:sz="4" w:space="1" w:color="1F2D4A"/>
        </w:pBdr>
        <w:spacing w:after="240"/>
        <w:rPr>
          <w:rFonts w:hint="eastAsia"/>
        </w:rPr>
      </w:pPr>
      <w:r>
        <w:t xml:space="preserve"> </w:t>
      </w:r>
    </w:p>
    <w:p w14:paraId="598813E4" w14:textId="77777777" w:rsidR="006755EC" w:rsidRDefault="001B2695">
      <w:pPr>
        <w:spacing w:after="120"/>
        <w:rPr>
          <w:rFonts w:hint="eastAsia"/>
        </w:rPr>
      </w:pPr>
      <w:r>
        <w:rPr>
          <w:sz w:val="44"/>
        </w:rPr>
        <w:t>Market context.</w:t>
      </w:r>
    </w:p>
    <w:p w14:paraId="546FF4E2" w14:textId="77777777" w:rsidR="006755EC" w:rsidRDefault="001B2695">
      <w:pPr>
        <w:spacing w:after="200"/>
        <w:rPr>
          <w:rFonts w:hint="eastAsia"/>
        </w:rPr>
      </w:pPr>
      <w:r>
        <w:rPr>
          <w:i/>
          <w:sz w:val="21"/>
        </w:rPr>
        <w:t>The numbers behind the positioning are not projections. They are the current state of the market Ruptiv serves.</w:t>
      </w:r>
    </w:p>
    <w:p w14:paraId="661260E2" w14:textId="77777777" w:rsidR="006755EC" w:rsidRDefault="001B2695">
      <w:pPr>
        <w:spacing w:after="120"/>
        <w:rPr>
          <w:rFonts w:hint="eastAsia"/>
        </w:rPr>
      </w:pPr>
      <w:r>
        <w:rPr>
          <w:b/>
          <w:color w:val="F2C94C"/>
        </w:rPr>
        <w:t xml:space="preserve">→  </w:t>
      </w:r>
      <w:r>
        <w:t xml:space="preserve">Global enterprises spent </w:t>
      </w:r>
      <w:r>
        <w:rPr>
          <w:b/>
          <w:color w:val="F2C94C"/>
        </w:rPr>
        <w:t>$684 billion</w:t>
      </w:r>
      <w:r>
        <w:t xml:space="preserve"> on AI in 2025. Over 80% produced nothing measurable. </w:t>
      </w:r>
      <w:r>
        <w:rPr>
          <w:i/>
          <w:color w:val="888780"/>
          <w:sz w:val="18"/>
        </w:rPr>
        <w:t>RAND Corporation, 2025</w:t>
      </w:r>
    </w:p>
    <w:p w14:paraId="6A1BB5AF" w14:textId="77777777" w:rsidR="006755EC" w:rsidRDefault="001B2695">
      <w:pPr>
        <w:spacing w:after="120"/>
        <w:rPr>
          <w:rFonts w:hint="eastAsia"/>
        </w:rPr>
      </w:pPr>
      <w:r>
        <w:rPr>
          <w:b/>
          <w:color w:val="F2C94C"/>
        </w:rPr>
        <w:t>→  95%</w:t>
      </w:r>
      <w:r>
        <w:t xml:space="preserve"> of AI pilots produce zero measurable P&amp;L impact. </w:t>
      </w:r>
      <w:r>
        <w:rPr>
          <w:i/>
          <w:color w:val="888780"/>
          <w:sz w:val="18"/>
        </w:rPr>
        <w:t>MIT NANDA Initiative, 2025</w:t>
      </w:r>
    </w:p>
    <w:p w14:paraId="4415F6E1" w14:textId="77777777" w:rsidR="006755EC" w:rsidRDefault="001B2695">
      <w:pPr>
        <w:spacing w:after="120"/>
        <w:rPr>
          <w:rFonts w:hint="eastAsia"/>
        </w:rPr>
      </w:pPr>
      <w:r>
        <w:rPr>
          <w:b/>
          <w:color w:val="F2C94C"/>
        </w:rPr>
        <w:t xml:space="preserve">→  </w:t>
      </w:r>
      <w:r>
        <w:t xml:space="preserve">The average enterprise lost </w:t>
      </w:r>
      <w:r>
        <w:rPr>
          <w:b/>
          <w:color w:val="F2C94C"/>
        </w:rPr>
        <w:t>$7.2 million</w:t>
      </w:r>
      <w:r>
        <w:t xml:space="preserve"> per failed AI initiative. 42% of companies abandoned most AI projects in 2025, up from 17% in 2024. </w:t>
      </w:r>
      <w:r>
        <w:rPr>
          <w:i/>
          <w:color w:val="888780"/>
          <w:sz w:val="18"/>
        </w:rPr>
        <w:t>S&amp;P Global, Deloitte, 2025</w:t>
      </w:r>
    </w:p>
    <w:p w14:paraId="19ACFCB1" w14:textId="77777777" w:rsidR="006755EC" w:rsidRDefault="001B2695">
      <w:pPr>
        <w:spacing w:after="120"/>
        <w:rPr>
          <w:rFonts w:hint="eastAsia"/>
        </w:rPr>
      </w:pPr>
      <w:r>
        <w:rPr>
          <w:b/>
          <w:color w:val="F2C94C"/>
        </w:rPr>
        <w:t>→  86%</w:t>
      </w:r>
      <w:r>
        <w:t xml:space="preserve"> of senior leaders say their organizations are not prepared to adopt AI in day-to-day operations. </w:t>
      </w:r>
      <w:r>
        <w:rPr>
          <w:i/>
          <w:color w:val="888780"/>
          <w:sz w:val="18"/>
        </w:rPr>
        <w:t>McKinsey State of Organizations, 2026</w:t>
      </w:r>
    </w:p>
    <w:p w14:paraId="1C66DBCF" w14:textId="77777777" w:rsidR="006755EC" w:rsidRDefault="001B2695">
      <w:pPr>
        <w:spacing w:after="120"/>
        <w:rPr>
          <w:rFonts w:hint="eastAsia"/>
        </w:rPr>
      </w:pPr>
      <w:r>
        <w:rPr>
          <w:b/>
          <w:color w:val="F2C94C"/>
        </w:rPr>
        <w:t xml:space="preserve">→  </w:t>
      </w:r>
      <w:r>
        <w:t xml:space="preserve">Companies report average returns of </w:t>
      </w:r>
      <w:r>
        <w:rPr>
          <w:b/>
          <w:color w:val="F2C94C"/>
        </w:rPr>
        <w:t>171%</w:t>
      </w:r>
      <w:r>
        <w:t xml:space="preserve"> from agentic AI deployments. US enterprises reach 192%. That is 3x the return from traditional automation. </w:t>
      </w:r>
      <w:r>
        <w:rPr>
          <w:i/>
          <w:color w:val="888780"/>
          <w:sz w:val="18"/>
        </w:rPr>
        <w:t>Landbase, 2025</w:t>
      </w:r>
    </w:p>
    <w:p w14:paraId="310B4EF2" w14:textId="77777777" w:rsidR="006755EC" w:rsidRDefault="001B2695">
      <w:pPr>
        <w:spacing w:after="120"/>
        <w:rPr>
          <w:rFonts w:hint="eastAsia"/>
        </w:rPr>
      </w:pPr>
      <w:r>
        <w:rPr>
          <w:b/>
          <w:color w:val="F2C94C"/>
        </w:rPr>
        <w:t>→  73%</w:t>
      </w:r>
      <w:r>
        <w:t xml:space="preserve"> of enterprise buyers now prefer outcome-based pricing. Only 25% of McKinsey fees are currently tied to outcomes. </w:t>
      </w:r>
      <w:r>
        <w:rPr>
          <w:i/>
          <w:color w:val="888780"/>
          <w:sz w:val="18"/>
        </w:rPr>
        <w:t>Leanware, Future of Consulting AI, 2026</w:t>
      </w:r>
    </w:p>
    <w:p w14:paraId="19E05CFA" w14:textId="77777777" w:rsidR="006755EC" w:rsidRDefault="001B2695">
      <w:pPr>
        <w:spacing w:after="120"/>
        <w:rPr>
          <w:rFonts w:hint="eastAsia"/>
        </w:rPr>
      </w:pPr>
      <w:r>
        <w:rPr>
          <w:b/>
          <w:color w:val="F2C94C"/>
        </w:rPr>
        <w:t xml:space="preserve">→  </w:t>
      </w:r>
      <w:r>
        <w:t xml:space="preserve">The agentic AI market grows from </w:t>
      </w:r>
      <w:r>
        <w:rPr>
          <w:b/>
          <w:color w:val="F2C94C"/>
        </w:rPr>
        <w:t>$7.3 billion</w:t>
      </w:r>
      <w:r>
        <w:t xml:space="preserve"> in 2025 to $57 to $199 billion by 2031 to 2034 at 44% CAGR. </w:t>
      </w:r>
      <w:r>
        <w:rPr>
          <w:i/>
          <w:color w:val="888780"/>
          <w:sz w:val="18"/>
        </w:rPr>
        <w:t>Mordor Intelligence, Fortune Business Insights, 2026</w:t>
      </w:r>
    </w:p>
    <w:p w14:paraId="4F5BAC19" w14:textId="77777777" w:rsidR="006755EC" w:rsidRDefault="001B2695">
      <w:pPr>
        <w:rPr>
          <w:rFonts w:hint="eastAsia"/>
        </w:rPr>
      </w:pPr>
      <w:r>
        <w:br w:type="page"/>
      </w:r>
    </w:p>
    <w:tbl>
      <w:tblPr>
        <w:tblW w:w="0" w:type="auto"/>
        <w:tblBorders>
          <w:top w:val="nil"/>
          <w:left w:val="nil"/>
          <w:bottom w:val="nil"/>
          <w:right w:val="nil"/>
          <w:insideH w:val="nil"/>
          <w:insideV w:val="nil"/>
        </w:tblBorders>
        <w:tblLook w:val="04A0" w:firstRow="1" w:lastRow="0" w:firstColumn="1" w:lastColumn="0" w:noHBand="0" w:noVBand="1"/>
      </w:tblPr>
      <w:tblGrid>
        <w:gridCol w:w="8640"/>
        <w:gridCol w:w="1440"/>
      </w:tblGrid>
      <w:tr w:rsidR="006755EC" w14:paraId="20C5B617" w14:textId="77777777">
        <w:tc>
          <w:tcPr>
            <w:tcW w:w="8640" w:type="dxa"/>
            <w:tcBorders>
              <w:top w:val="nil"/>
              <w:left w:val="nil"/>
              <w:bottom w:val="nil"/>
              <w:right w:val="nil"/>
            </w:tcBorders>
            <w:tcMar>
              <w:top w:w="0" w:type="dxa"/>
              <w:left w:w="0" w:type="dxa"/>
              <w:bottom w:w="40" w:type="dxa"/>
              <w:right w:w="0" w:type="dxa"/>
            </w:tcMar>
          </w:tcPr>
          <w:p w14:paraId="0AE62DA7" w14:textId="77777777" w:rsidR="006755EC" w:rsidRDefault="001B2695">
            <w:pPr>
              <w:spacing w:after="0"/>
              <w:rPr>
                <w:rFonts w:hint="eastAsia"/>
              </w:rPr>
            </w:pPr>
            <w:r>
              <w:rPr>
                <w:b/>
                <w:color w:val="888780"/>
                <w:spacing w:val="60"/>
                <w:sz w:val="18"/>
              </w:rPr>
              <w:lastRenderedPageBreak/>
              <w:t>PAGE 11 / BRAND ATTRIBUTES AND SINGLE-LINE TEST</w:t>
            </w:r>
          </w:p>
        </w:tc>
        <w:tc>
          <w:tcPr>
            <w:tcW w:w="1440" w:type="dxa"/>
            <w:tcBorders>
              <w:top w:val="nil"/>
              <w:left w:val="nil"/>
              <w:bottom w:val="nil"/>
              <w:right w:val="nil"/>
            </w:tcBorders>
            <w:tcMar>
              <w:top w:w="0" w:type="dxa"/>
              <w:left w:w="0" w:type="dxa"/>
              <w:bottom w:w="40" w:type="dxa"/>
              <w:right w:w="0" w:type="dxa"/>
            </w:tcMar>
          </w:tcPr>
          <w:p w14:paraId="3B7208BB" w14:textId="77777777" w:rsidR="006755EC" w:rsidRDefault="001B2695">
            <w:pPr>
              <w:spacing w:after="0"/>
              <w:jc w:val="right"/>
              <w:rPr>
                <w:rFonts w:hint="eastAsia"/>
              </w:rPr>
            </w:pPr>
            <w:r>
              <w:rPr>
                <w:color w:val="888780"/>
                <w:sz w:val="18"/>
              </w:rPr>
              <w:t>12</w:t>
            </w:r>
          </w:p>
        </w:tc>
      </w:tr>
    </w:tbl>
    <w:p w14:paraId="5BE7671F" w14:textId="77777777" w:rsidR="006755EC" w:rsidRDefault="001B2695">
      <w:pPr>
        <w:pBdr>
          <w:bottom w:val="single" w:sz="4" w:space="1" w:color="1F2D4A"/>
        </w:pBdr>
        <w:spacing w:after="240"/>
        <w:rPr>
          <w:rFonts w:hint="eastAsia"/>
        </w:rPr>
      </w:pPr>
      <w:r>
        <w:t xml:space="preserve"> </w:t>
      </w:r>
    </w:p>
    <w:p w14:paraId="576BF723" w14:textId="77777777" w:rsidR="006755EC" w:rsidRDefault="001B2695">
      <w:pPr>
        <w:spacing w:after="160"/>
        <w:rPr>
          <w:rFonts w:hint="eastAsia"/>
        </w:rPr>
      </w:pPr>
      <w:r>
        <w:rPr>
          <w:sz w:val="44"/>
        </w:rPr>
        <w:t>Brand attributes.</w:t>
      </w: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755EC" w14:paraId="4379A164"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63F4E29D" w14:textId="77777777" w:rsidR="006755EC" w:rsidRDefault="001B2695">
            <w:pPr>
              <w:spacing w:after="0"/>
              <w:rPr>
                <w:rFonts w:hint="eastAsia"/>
              </w:rPr>
            </w:pPr>
            <w:r>
              <w:rPr>
                <w:sz w:val="24"/>
              </w:rPr>
              <w:t>Reinvented</w:t>
            </w:r>
          </w:p>
        </w:tc>
        <w:tc>
          <w:tcPr>
            <w:tcW w:w="7776" w:type="dxa"/>
            <w:tcBorders>
              <w:top w:val="nil"/>
              <w:left w:val="nil"/>
              <w:bottom w:val="nil"/>
              <w:right w:val="nil"/>
            </w:tcBorders>
            <w:shd w:val="clear" w:color="auto" w:fill="1F2D4A"/>
            <w:tcMar>
              <w:top w:w="120" w:type="dxa"/>
              <w:left w:w="60" w:type="dxa"/>
              <w:bottom w:w="120" w:type="dxa"/>
              <w:right w:w="180" w:type="dxa"/>
            </w:tcMar>
          </w:tcPr>
          <w:p w14:paraId="44A68643" w14:textId="77777777" w:rsidR="006755EC" w:rsidRDefault="001B2695">
            <w:pPr>
              <w:spacing w:after="0"/>
              <w:rPr>
                <w:rFonts w:hint="eastAsia"/>
              </w:rPr>
            </w:pPr>
            <w:r>
              <w:rPr>
                <w:sz w:val="19"/>
              </w:rPr>
              <w:t>We rebuild the workflow with agents at the center. Not layered onto existing processes. Redesigned from the inside.</w:t>
            </w:r>
          </w:p>
        </w:tc>
      </w:tr>
    </w:tbl>
    <w:p w14:paraId="2C314622"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1"/>
        <w:gridCol w:w="7749"/>
      </w:tblGrid>
      <w:tr w:rsidR="006755EC" w14:paraId="0EAFF03D"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795C40CB" w14:textId="77777777" w:rsidR="006755EC" w:rsidRDefault="001B2695">
            <w:pPr>
              <w:spacing w:after="0"/>
              <w:rPr>
                <w:rFonts w:hint="eastAsia"/>
              </w:rPr>
            </w:pPr>
            <w:r>
              <w:rPr>
                <w:sz w:val="24"/>
              </w:rPr>
              <w:t>Compounding</w:t>
            </w:r>
          </w:p>
        </w:tc>
        <w:tc>
          <w:tcPr>
            <w:tcW w:w="7776" w:type="dxa"/>
            <w:tcBorders>
              <w:top w:val="nil"/>
              <w:left w:val="nil"/>
              <w:bottom w:val="nil"/>
              <w:right w:val="nil"/>
            </w:tcBorders>
            <w:shd w:val="clear" w:color="auto" w:fill="1F2D4A"/>
            <w:tcMar>
              <w:top w:w="120" w:type="dxa"/>
              <w:left w:w="60" w:type="dxa"/>
              <w:bottom w:w="120" w:type="dxa"/>
              <w:right w:w="180" w:type="dxa"/>
            </w:tcMar>
          </w:tcPr>
          <w:p w14:paraId="632E9FA9" w14:textId="77777777" w:rsidR="006755EC" w:rsidRDefault="001B2695">
            <w:pPr>
              <w:spacing w:after="0"/>
              <w:rPr>
                <w:rFonts w:hint="eastAsia"/>
              </w:rPr>
            </w:pPr>
            <w:r>
              <w:rPr>
                <w:sz w:val="19"/>
              </w:rPr>
              <w:t>Every engagement deepens the Patterns library, extends the Studios, and grows the Sparring Partner roster. The next engagement starts where the last one left off.</w:t>
            </w:r>
          </w:p>
        </w:tc>
      </w:tr>
    </w:tbl>
    <w:p w14:paraId="0E9FFF79"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1"/>
        <w:gridCol w:w="7749"/>
      </w:tblGrid>
      <w:tr w:rsidR="006755EC" w14:paraId="2D1F93AF"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2B1877FC" w14:textId="77777777" w:rsidR="006755EC" w:rsidRDefault="001B2695">
            <w:pPr>
              <w:spacing w:after="0"/>
              <w:rPr>
                <w:rFonts w:hint="eastAsia"/>
              </w:rPr>
            </w:pPr>
            <w:r>
              <w:rPr>
                <w:sz w:val="24"/>
              </w:rPr>
              <w:t>Accountable</w:t>
            </w:r>
          </w:p>
        </w:tc>
        <w:tc>
          <w:tcPr>
            <w:tcW w:w="7776" w:type="dxa"/>
            <w:tcBorders>
              <w:top w:val="nil"/>
              <w:left w:val="nil"/>
              <w:bottom w:val="nil"/>
              <w:right w:val="nil"/>
            </w:tcBorders>
            <w:shd w:val="clear" w:color="auto" w:fill="1F2D4A"/>
            <w:tcMar>
              <w:top w:w="120" w:type="dxa"/>
              <w:left w:w="60" w:type="dxa"/>
              <w:bottom w:w="120" w:type="dxa"/>
              <w:right w:w="180" w:type="dxa"/>
            </w:tcMar>
          </w:tcPr>
          <w:p w14:paraId="64BFCCC5" w14:textId="77777777" w:rsidR="006755EC" w:rsidRDefault="001B2695">
            <w:pPr>
              <w:spacing w:after="0"/>
              <w:rPr>
                <w:rFonts w:hint="eastAsia"/>
              </w:rPr>
            </w:pPr>
            <w:r>
              <w:rPr>
                <w:sz w:val="19"/>
              </w:rPr>
              <w:t>We invoice when the cost line moves. The client's outcome is the commercial model.</w:t>
            </w:r>
          </w:p>
        </w:tc>
      </w:tr>
    </w:tbl>
    <w:p w14:paraId="2F716C8E"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299"/>
        <w:gridCol w:w="7751"/>
      </w:tblGrid>
      <w:tr w:rsidR="006755EC" w14:paraId="663F7A28"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2D5E3E1B" w14:textId="77777777" w:rsidR="006755EC" w:rsidRDefault="001B2695">
            <w:pPr>
              <w:spacing w:after="0"/>
              <w:rPr>
                <w:rFonts w:hint="eastAsia"/>
              </w:rPr>
            </w:pPr>
            <w:r>
              <w:rPr>
                <w:sz w:val="24"/>
              </w:rPr>
              <w:t>Precise</w:t>
            </w:r>
          </w:p>
        </w:tc>
        <w:tc>
          <w:tcPr>
            <w:tcW w:w="7776" w:type="dxa"/>
            <w:tcBorders>
              <w:top w:val="nil"/>
              <w:left w:val="nil"/>
              <w:bottom w:val="nil"/>
              <w:right w:val="nil"/>
            </w:tcBorders>
            <w:shd w:val="clear" w:color="auto" w:fill="1F2D4A"/>
            <w:tcMar>
              <w:top w:w="120" w:type="dxa"/>
              <w:left w:w="60" w:type="dxa"/>
              <w:bottom w:w="120" w:type="dxa"/>
              <w:right w:w="180" w:type="dxa"/>
            </w:tcMar>
          </w:tcPr>
          <w:p w14:paraId="13816655" w14:textId="77777777" w:rsidR="006755EC" w:rsidRDefault="001B2695">
            <w:pPr>
              <w:spacing w:after="0"/>
              <w:rPr>
                <w:rFonts w:hint="eastAsia"/>
              </w:rPr>
            </w:pPr>
            <w:r>
              <w:rPr>
                <w:sz w:val="19"/>
              </w:rPr>
              <w:t>The baseline is agreed before any work starts. Success has a number, not a narrative.</w:t>
            </w:r>
          </w:p>
        </w:tc>
      </w:tr>
    </w:tbl>
    <w:p w14:paraId="2C3E41F9"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755EC" w14:paraId="33B1F754"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6B75C772" w14:textId="77777777" w:rsidR="006755EC" w:rsidRDefault="001B2695">
            <w:pPr>
              <w:spacing w:after="0"/>
              <w:rPr>
                <w:rFonts w:hint="eastAsia"/>
              </w:rPr>
            </w:pPr>
            <w:r>
              <w:rPr>
                <w:sz w:val="24"/>
              </w:rPr>
              <w:t>Embedded</w:t>
            </w:r>
          </w:p>
        </w:tc>
        <w:tc>
          <w:tcPr>
            <w:tcW w:w="7776" w:type="dxa"/>
            <w:tcBorders>
              <w:top w:val="nil"/>
              <w:left w:val="nil"/>
              <w:bottom w:val="nil"/>
              <w:right w:val="nil"/>
            </w:tcBorders>
            <w:shd w:val="clear" w:color="auto" w:fill="1F2D4A"/>
            <w:tcMar>
              <w:top w:w="120" w:type="dxa"/>
              <w:left w:w="60" w:type="dxa"/>
              <w:bottom w:w="120" w:type="dxa"/>
              <w:right w:w="180" w:type="dxa"/>
            </w:tcMar>
          </w:tcPr>
          <w:p w14:paraId="20714006" w14:textId="77777777" w:rsidR="006755EC" w:rsidRDefault="001B2695">
            <w:pPr>
              <w:spacing w:after="0"/>
              <w:rPr>
                <w:rFonts w:hint="eastAsia"/>
              </w:rPr>
            </w:pPr>
            <w:r>
              <w:rPr>
                <w:sz w:val="19"/>
              </w:rPr>
              <w:t>Cross-functional squads work inside the client organization. Not advisory from the outside. Operational from the inside.</w:t>
            </w:r>
          </w:p>
        </w:tc>
      </w:tr>
    </w:tbl>
    <w:p w14:paraId="4D6A207D" w14:textId="77777777" w:rsidR="006755EC" w:rsidRDefault="006755EC">
      <w:pPr>
        <w:spacing w:after="40"/>
        <w:rPr>
          <w:rFonts w:hint="eastAsia"/>
        </w:rPr>
      </w:pPr>
    </w:p>
    <w:tbl>
      <w:tblPr>
        <w:tblW w:w="0" w:type="auto"/>
        <w:tblBorders>
          <w:top w:val="nil"/>
          <w:left w:val="nil"/>
          <w:bottom w:val="nil"/>
          <w:right w:val="nil"/>
          <w:insideH w:val="nil"/>
          <w:insideV w:val="nil"/>
        </w:tblBorders>
        <w:tblLook w:val="04A0" w:firstRow="1" w:lastRow="0" w:firstColumn="1" w:lastColumn="0" w:noHBand="0" w:noVBand="1"/>
      </w:tblPr>
      <w:tblGrid>
        <w:gridCol w:w="2300"/>
        <w:gridCol w:w="7750"/>
      </w:tblGrid>
      <w:tr w:rsidR="006755EC" w14:paraId="6CE6BEF9" w14:textId="77777777">
        <w:tc>
          <w:tcPr>
            <w:tcW w:w="2304" w:type="dxa"/>
            <w:tcBorders>
              <w:top w:val="nil"/>
              <w:left w:val="single" w:sz="24" w:space="0" w:color="F2C94C"/>
              <w:bottom w:val="nil"/>
              <w:right w:val="nil"/>
            </w:tcBorders>
            <w:shd w:val="clear" w:color="auto" w:fill="1F2D4A"/>
            <w:tcMar>
              <w:top w:w="120" w:type="dxa"/>
              <w:left w:w="180" w:type="dxa"/>
              <w:bottom w:w="120" w:type="dxa"/>
              <w:right w:w="60" w:type="dxa"/>
            </w:tcMar>
          </w:tcPr>
          <w:p w14:paraId="7B6D467B" w14:textId="77777777" w:rsidR="006755EC" w:rsidRDefault="001B2695">
            <w:pPr>
              <w:spacing w:after="0"/>
              <w:rPr>
                <w:rFonts w:hint="eastAsia"/>
              </w:rPr>
            </w:pPr>
            <w:r>
              <w:rPr>
                <w:sz w:val="24"/>
              </w:rPr>
              <w:t>Validated</w:t>
            </w:r>
          </w:p>
        </w:tc>
        <w:tc>
          <w:tcPr>
            <w:tcW w:w="7776" w:type="dxa"/>
            <w:tcBorders>
              <w:top w:val="nil"/>
              <w:left w:val="nil"/>
              <w:bottom w:val="nil"/>
              <w:right w:val="nil"/>
            </w:tcBorders>
            <w:shd w:val="clear" w:color="auto" w:fill="1F2D4A"/>
            <w:tcMar>
              <w:top w:w="120" w:type="dxa"/>
              <w:left w:w="60" w:type="dxa"/>
              <w:bottom w:w="120" w:type="dxa"/>
              <w:right w:w="180" w:type="dxa"/>
            </w:tcMar>
          </w:tcPr>
          <w:p w14:paraId="2A35CC2E" w14:textId="77777777" w:rsidR="006755EC" w:rsidRDefault="001B2695">
            <w:pPr>
              <w:spacing w:after="0"/>
              <w:rPr>
                <w:rFonts w:hint="eastAsia"/>
              </w:rPr>
            </w:pPr>
            <w:r>
              <w:rPr>
                <w:sz w:val="19"/>
              </w:rPr>
              <w:t>McKinsey identifies End-to-End Workflow Disruption as the most defensible position in the agentic AI market. Ruptiv holds it.</w:t>
            </w:r>
          </w:p>
        </w:tc>
      </w:tr>
    </w:tbl>
    <w:p w14:paraId="6B39547C" w14:textId="77777777" w:rsidR="006755EC" w:rsidRDefault="006755EC">
      <w:pPr>
        <w:spacing w:after="40"/>
        <w:rPr>
          <w:rFonts w:hint="eastAsia"/>
        </w:rPr>
      </w:pPr>
    </w:p>
    <w:p w14:paraId="116B06F8" w14:textId="77777777" w:rsidR="006755EC" w:rsidRDefault="001B2695">
      <w:pPr>
        <w:spacing w:before="280" w:after="120"/>
        <w:rPr>
          <w:rFonts w:hint="eastAsia"/>
        </w:rPr>
      </w:pPr>
      <w:r>
        <w:rPr>
          <w:sz w:val="44"/>
        </w:rPr>
        <w:t>The single-line test.</w:t>
      </w:r>
    </w:p>
    <w:p w14:paraId="51F71D8D" w14:textId="77777777" w:rsidR="006755EC" w:rsidRDefault="001B2695">
      <w:pPr>
        <w:spacing w:after="200"/>
        <w:rPr>
          <w:rFonts w:hint="eastAsia"/>
        </w:rPr>
      </w:pPr>
      <w:r>
        <w:rPr>
          <w:i/>
          <w:sz w:val="21"/>
        </w:rPr>
        <w:t>If a senior leader reads one line, it should be this.</w:t>
      </w:r>
    </w:p>
    <w:tbl>
      <w:tblPr>
        <w:tblW w:w="0" w:type="auto"/>
        <w:tblBorders>
          <w:top w:val="nil"/>
          <w:left w:val="nil"/>
          <w:bottom w:val="nil"/>
          <w:right w:val="nil"/>
          <w:insideH w:val="nil"/>
          <w:insideV w:val="nil"/>
        </w:tblBorders>
        <w:tblLook w:val="04A0" w:firstRow="1" w:lastRow="0" w:firstColumn="1" w:lastColumn="0" w:noHBand="0" w:noVBand="1"/>
      </w:tblPr>
      <w:tblGrid>
        <w:gridCol w:w="10050"/>
      </w:tblGrid>
      <w:tr w:rsidR="006755EC" w14:paraId="7248B243" w14:textId="77777777">
        <w:tc>
          <w:tcPr>
            <w:tcW w:w="10080" w:type="dxa"/>
            <w:tcBorders>
              <w:top w:val="nil"/>
              <w:left w:val="single" w:sz="24" w:space="0" w:color="F2C94C"/>
              <w:bottom w:val="nil"/>
              <w:right w:val="nil"/>
            </w:tcBorders>
            <w:shd w:val="clear" w:color="auto" w:fill="1F2D4A"/>
            <w:tcMar>
              <w:top w:w="180" w:type="dxa"/>
              <w:left w:w="240" w:type="dxa"/>
              <w:bottom w:w="180" w:type="dxa"/>
              <w:right w:w="240" w:type="dxa"/>
            </w:tcMar>
          </w:tcPr>
          <w:p w14:paraId="103592AD" w14:textId="77777777" w:rsidR="006755EC" w:rsidRDefault="001B2695">
            <w:pPr>
              <w:spacing w:after="0"/>
              <w:rPr>
                <w:rFonts w:hint="eastAsia"/>
              </w:rPr>
            </w:pPr>
            <w:r>
              <w:rPr>
                <w:sz w:val="24"/>
              </w:rPr>
              <w:t>Ruptiv is the End-to-End Workflow Disruptor. We evolve your workflows from headcount-executed to agent-executed, install Listening Systems that keep your operating model intelligent, and invoice when the cost line moves.</w:t>
            </w:r>
          </w:p>
        </w:tc>
      </w:tr>
    </w:tbl>
    <w:p w14:paraId="69EBB61D" w14:textId="77777777" w:rsidR="006755EC" w:rsidRDefault="006755EC">
      <w:pPr>
        <w:rPr>
          <w:rFonts w:hint="eastAsia"/>
        </w:rPr>
      </w:pPr>
    </w:p>
    <w:p w14:paraId="12B66775" w14:textId="77777777" w:rsidR="006755EC" w:rsidRDefault="001B2695">
      <w:pPr>
        <w:spacing w:before="200" w:after="0"/>
        <w:jc w:val="center"/>
        <w:rPr>
          <w:rFonts w:hint="eastAsia"/>
        </w:rPr>
      </w:pPr>
      <w:r>
        <w:rPr>
          <w:i/>
          <w:color w:val="888780"/>
        </w:rPr>
        <w:t>Everything in this document exists to support that sentence.</w:t>
      </w:r>
    </w:p>
    <w:sectPr w:rsidR="006755E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6454108">
    <w:abstractNumId w:val="8"/>
  </w:num>
  <w:num w:numId="2" w16cid:durableId="1260061597">
    <w:abstractNumId w:val="6"/>
  </w:num>
  <w:num w:numId="3" w16cid:durableId="396362036">
    <w:abstractNumId w:val="5"/>
  </w:num>
  <w:num w:numId="4" w16cid:durableId="1884899302">
    <w:abstractNumId w:val="4"/>
  </w:num>
  <w:num w:numId="5" w16cid:durableId="1015576296">
    <w:abstractNumId w:val="7"/>
  </w:num>
  <w:num w:numId="6" w16cid:durableId="200366320">
    <w:abstractNumId w:val="3"/>
  </w:num>
  <w:num w:numId="7" w16cid:durableId="1740397849">
    <w:abstractNumId w:val="2"/>
  </w:num>
  <w:num w:numId="8" w16cid:durableId="394864481">
    <w:abstractNumId w:val="1"/>
  </w:num>
  <w:num w:numId="9" w16cid:durableId="12703165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2695"/>
    <w:rsid w:val="0029639D"/>
    <w:rsid w:val="00326F90"/>
    <w:rsid w:val="00604EC1"/>
    <w:rsid w:val="006755EC"/>
    <w:rsid w:val="00AA1D8D"/>
    <w:rsid w:val="00AA24A7"/>
    <w:rsid w:val="00B47730"/>
    <w:rsid w:val="00CB0664"/>
    <w:rsid w:val="00FC693F"/>
    <w:rsid w:val="00FE1E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C63B5ED-1E5E-4161-8F3B-6CAFC0F78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Inter" w:hAnsi="Inter"/>
      <w:color w:val="F4F1E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2438</Words>
  <Characters>13900</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Ian McKelvie</cp:lastModifiedBy>
  <cp:revision>3</cp:revision>
  <dcterms:created xsi:type="dcterms:W3CDTF">2026-05-04T19:24:00Z</dcterms:created>
  <dcterms:modified xsi:type="dcterms:W3CDTF">2026-05-04T19:25:00Z</dcterms:modified>
  <cp:category/>
</cp:coreProperties>
</file>