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87049" w14:textId="77777777" w:rsidR="00C54027" w:rsidRDefault="00C54027">
      <w:pPr>
        <w:spacing w:after="600"/>
      </w:pPr>
    </w:p>
    <w:p w14:paraId="45D8885F" w14:textId="77777777" w:rsidR="00C54027" w:rsidRDefault="00424ADE">
      <w:pPr>
        <w:spacing w:after="200"/>
        <w:jc w:val="center"/>
      </w:pPr>
      <w:r>
        <w:rPr>
          <w:b/>
          <w:bCs/>
          <w:color w:val="1B3A5C"/>
          <w:sz w:val="44"/>
          <w:szCs w:val="44"/>
        </w:rPr>
        <w:t>UNIVERSAL EVENT NOTARIZATION</w:t>
      </w:r>
    </w:p>
    <w:p w14:paraId="1EF474EA" w14:textId="77777777" w:rsidR="00C54027" w:rsidRDefault="00424ADE">
      <w:pPr>
        <w:spacing w:after="200"/>
        <w:jc w:val="center"/>
      </w:pPr>
      <w:r>
        <w:rPr>
          <w:b/>
          <w:bCs/>
          <w:color w:val="1B3A5C"/>
          <w:sz w:val="44"/>
          <w:szCs w:val="44"/>
        </w:rPr>
        <w:t>AND DIGITAL SOVEREIGNTY</w:t>
      </w:r>
    </w:p>
    <w:p w14:paraId="2335E4AA" w14:textId="77777777" w:rsidR="00C54027" w:rsidRDefault="00C54027">
      <w:pPr>
        <w:spacing w:after="400"/>
      </w:pPr>
    </w:p>
    <w:p w14:paraId="65921550" w14:textId="77777777" w:rsidR="00C54027" w:rsidRDefault="00424ADE">
      <w:pPr>
        <w:spacing w:after="120"/>
        <w:jc w:val="center"/>
      </w:pPr>
      <w:r>
        <w:rPr>
          <w:color w:val="2C2C2C"/>
          <w:sz w:val="28"/>
          <w:szCs w:val="28"/>
        </w:rPr>
        <w:t>A Design Science Approach to Cryptographic</w:t>
      </w:r>
    </w:p>
    <w:p w14:paraId="304889D0" w14:textId="77777777" w:rsidR="00C54027" w:rsidRDefault="00424ADE">
      <w:pPr>
        <w:spacing w:after="120"/>
        <w:jc w:val="center"/>
      </w:pPr>
      <w:r>
        <w:rPr>
          <w:color w:val="2C2C2C"/>
          <w:sz w:val="28"/>
          <w:szCs w:val="28"/>
        </w:rPr>
        <w:t>Commercial Proof on a Proof-of-Work Time Chain</w:t>
      </w:r>
    </w:p>
    <w:p w14:paraId="69DBABAE" w14:textId="77777777" w:rsidR="00C54027" w:rsidRDefault="00C54027">
      <w:pPr>
        <w:spacing w:after="600"/>
      </w:pPr>
    </w:p>
    <w:p w14:paraId="2B56181D" w14:textId="77777777" w:rsidR="00C54027" w:rsidRDefault="00424ADE">
      <w:pPr>
        <w:pBdr>
          <w:top w:val="single" w:sz="6" w:space="12" w:color="1B3A5C"/>
        </w:pBdr>
        <w:spacing w:after="80"/>
        <w:jc w:val="center"/>
      </w:pPr>
      <w:r>
        <w:rPr>
          <w:sz w:val="16"/>
          <w:szCs w:val="16"/>
        </w:rPr>
        <w:t xml:space="preserve"> </w:t>
      </w:r>
    </w:p>
    <w:p w14:paraId="20E7EB93" w14:textId="77777777" w:rsidR="00C54027" w:rsidRDefault="00424ADE">
      <w:pPr>
        <w:spacing w:after="120"/>
        <w:jc w:val="center"/>
      </w:pPr>
      <w:r>
        <w:rPr>
          <w:i/>
          <w:iCs/>
          <w:color w:val="555555"/>
        </w:rPr>
        <w:t>Working Paper</w:t>
      </w:r>
    </w:p>
    <w:p w14:paraId="7C453479" w14:textId="77777777" w:rsidR="00C54027" w:rsidRDefault="00424ADE">
      <w:pPr>
        <w:spacing w:after="120"/>
        <w:jc w:val="center"/>
      </w:pPr>
      <w:r>
        <w:rPr>
          <w:color w:val="2C2C2C"/>
        </w:rPr>
        <w:t>March 2026</w:t>
      </w:r>
    </w:p>
    <w:p w14:paraId="05FB1081" w14:textId="77777777" w:rsidR="00C54027" w:rsidRDefault="00424ADE">
      <w:pPr>
        <w:spacing w:after="120"/>
        <w:jc w:val="center"/>
      </w:pPr>
      <w:proofErr w:type="spellStart"/>
      <w:r>
        <w:rPr>
          <w:color w:val="2C2C2C"/>
        </w:rPr>
        <w:t>GrowDirect</w:t>
      </w:r>
      <w:proofErr w:type="spellEnd"/>
      <w:r>
        <w:rPr>
          <w:color w:val="2C2C2C"/>
        </w:rPr>
        <w:t xml:space="preserve"> Inc.</w:t>
      </w:r>
    </w:p>
    <w:p w14:paraId="0BB4D2CC" w14:textId="77777777" w:rsidR="00C54027" w:rsidRDefault="00C54027">
      <w:pPr>
        <w:spacing w:after="400"/>
      </w:pPr>
    </w:p>
    <w:p w14:paraId="33079CD9" w14:textId="77777777" w:rsidR="00C54027" w:rsidRDefault="00424ADE">
      <w:pPr>
        <w:spacing w:after="120"/>
        <w:jc w:val="center"/>
      </w:pPr>
      <w:r>
        <w:rPr>
          <w:color w:val="555555"/>
          <w:sz w:val="22"/>
          <w:szCs w:val="22"/>
        </w:rPr>
        <w:t>Provisional Patent Application No. 63/991,596</w:t>
      </w:r>
    </w:p>
    <w:p w14:paraId="46190846" w14:textId="77777777" w:rsidR="00C54027" w:rsidRDefault="00424ADE">
      <w:pPr>
        <w:spacing w:after="120"/>
        <w:jc w:val="center"/>
      </w:pPr>
      <w:r>
        <w:rPr>
          <w:color w:val="555555"/>
          <w:sz w:val="22"/>
          <w:szCs w:val="22"/>
        </w:rPr>
        <w:t>Filed February 26, 2026</w:t>
      </w:r>
    </w:p>
    <w:p w14:paraId="495F3E4B" w14:textId="77777777" w:rsidR="00C54027" w:rsidRDefault="00424ADE">
      <w:pPr>
        <w:spacing w:before="600"/>
        <w:jc w:val="center"/>
      </w:pPr>
      <w:r>
        <w:rPr>
          <w:b/>
          <w:bCs/>
          <w:color w:val="C0392B"/>
          <w:sz w:val="28"/>
          <w:szCs w:val="28"/>
        </w:rPr>
        <w:t>CONFIDENTIAL</w:t>
      </w:r>
    </w:p>
    <w:p w14:paraId="65E5AD6B" w14:textId="77777777" w:rsidR="00C54027" w:rsidRDefault="00C54027">
      <w:pPr>
        <w:sectPr w:rsidR="00C54027">
          <w:pgSz w:w="12240" w:h="15840"/>
          <w:pgMar w:top="2880" w:right="1440" w:bottom="1440" w:left="1440" w:header="708" w:footer="708" w:gutter="0"/>
          <w:cols w:space="720"/>
          <w:docGrid w:linePitch="360"/>
        </w:sectPr>
      </w:pPr>
    </w:p>
    <w:p w14:paraId="373ACA79" w14:textId="77777777" w:rsidR="00C54027" w:rsidRDefault="00424ADE">
      <w:pPr>
        <w:spacing w:after="600"/>
        <w:jc w:val="center"/>
      </w:pPr>
      <w:r>
        <w:rPr>
          <w:b/>
          <w:bCs/>
          <w:color w:val="555555"/>
          <w:spacing w:val="200"/>
          <w:sz w:val="20"/>
          <w:szCs w:val="20"/>
        </w:rPr>
        <w:lastRenderedPageBreak/>
        <w:t>FOREWORD</w:t>
      </w:r>
    </w:p>
    <w:p w14:paraId="65764D4F" w14:textId="77777777" w:rsidR="00C54027" w:rsidRDefault="00424ADE">
      <w:pPr>
        <w:spacing w:after="600"/>
        <w:jc w:val="center"/>
      </w:pPr>
      <w:r>
        <w:rPr>
          <w:b/>
          <w:bCs/>
          <w:i/>
          <w:iCs/>
          <w:color w:val="1B3A5C"/>
          <w:sz w:val="36"/>
          <w:szCs w:val="36"/>
        </w:rPr>
        <w:t xml:space="preserve">The Canary in the </w:t>
      </w:r>
      <w:proofErr w:type="spellStart"/>
      <w:r>
        <w:rPr>
          <w:b/>
          <w:bCs/>
          <w:i/>
          <w:iCs/>
          <w:color w:val="1B3A5C"/>
          <w:sz w:val="36"/>
          <w:szCs w:val="36"/>
        </w:rPr>
        <w:t>DataMine</w:t>
      </w:r>
      <w:proofErr w:type="spellEnd"/>
    </w:p>
    <w:p w14:paraId="0680C93D" w14:textId="77777777" w:rsidR="00C54027" w:rsidRDefault="00C54027">
      <w:pPr>
        <w:spacing w:after="120"/>
      </w:pPr>
    </w:p>
    <w:p w14:paraId="15B4CE1A" w14:textId="77777777" w:rsidR="00C54027" w:rsidRDefault="00424ADE">
      <w:pPr>
        <w:spacing w:after="200" w:line="360" w:lineRule="auto"/>
        <w:jc w:val="both"/>
      </w:pPr>
      <w:r>
        <w:rPr>
          <w:color w:val="2C2C2C"/>
        </w:rPr>
        <w:t>Thomas Jefferson believed that the independent farmer was the moral foundation of the republic. Not the merchant prince, not the financier, not the industrialist — the person who worked their own land, kept their own harvest, and answered to no lord for the right to do either. The agrarian ideal was not sentimental. It was structural. Jefferson understood that political freedom without economic sovereignty was a fiction. A citizen who depends on another man’s permission to earn a living is not free. A republic of dependents is not a republic.</w:t>
      </w:r>
    </w:p>
    <w:p w14:paraId="545383FA" w14:textId="77777777" w:rsidR="00C54027" w:rsidRDefault="00424ADE">
      <w:pPr>
        <w:spacing w:after="200" w:line="360" w:lineRule="auto"/>
        <w:jc w:val="both"/>
      </w:pPr>
      <w:r>
        <w:rPr>
          <w:color w:val="2C2C2C"/>
        </w:rPr>
        <w:t>Two hundred and fifty years later, the farm is a register. The harvest is data. And the lord is a platform.</w:t>
      </w:r>
    </w:p>
    <w:p w14:paraId="22FAE111" w14:textId="77777777" w:rsidR="00C54027" w:rsidRDefault="00424ADE">
      <w:pPr>
        <w:spacing w:after="200" w:line="360" w:lineRule="auto"/>
        <w:jc w:val="both"/>
      </w:pPr>
      <w:r>
        <w:rPr>
          <w:color w:val="2C2C2C"/>
        </w:rPr>
        <w:t xml:space="preserve">There are 4.5 million small merchants on the </w:t>
      </w:r>
      <w:proofErr w:type="gramStart"/>
      <w:r>
        <w:rPr>
          <w:color w:val="2C2C2C"/>
        </w:rPr>
        <w:t>Square</w:t>
      </w:r>
      <w:proofErr w:type="gramEnd"/>
      <w:r>
        <w:rPr>
          <w:color w:val="2C2C2C"/>
        </w:rPr>
        <w:t xml:space="preserve"> network alone. They are the coffee shops, the barbershops, the florists, the food trucks, the neighborhood restaurants that constitute the living tissue of the American economy. Every day, they run transactions through systems they do not own, generating records they cannot independently verify, building commercial histories they do not control. If the platform changes its terms, the records change with it. If the platform goes down, the records go with it. If there is a dispute, the merchant must petition the platform for access to their own history, in a format chosen by the platform, on a timeline set by the platform.</w:t>
      </w:r>
    </w:p>
    <w:p w14:paraId="0D991B73" w14:textId="77777777" w:rsidR="00C54027" w:rsidRDefault="00424ADE">
      <w:pPr>
        <w:spacing w:after="200" w:line="360" w:lineRule="auto"/>
        <w:jc w:val="both"/>
      </w:pPr>
      <w:r>
        <w:rPr>
          <w:color w:val="2C2C2C"/>
        </w:rPr>
        <w:t>The most important commercial events in a small business owner’s life leave no independently verifiable trace. The modern yeoman farmer works the digital soil every day. But the harvest belongs to someone else.</w:t>
      </w:r>
    </w:p>
    <w:p w14:paraId="45BECF30" w14:textId="77777777" w:rsidR="00C54027" w:rsidRDefault="00424ADE">
      <w:pPr>
        <w:spacing w:after="200" w:line="360" w:lineRule="auto"/>
        <w:jc w:val="both"/>
      </w:pPr>
      <w:r>
        <w:rPr>
          <w:color w:val="2C2C2C"/>
        </w:rPr>
        <w:t>This is not a technology problem. It is a sovereignty problem. And it is the oldest problem in the American story.</w:t>
      </w:r>
    </w:p>
    <w:p w14:paraId="441F380F" w14:textId="77777777" w:rsidR="00C54027" w:rsidRDefault="00C54027">
      <w:pPr>
        <w:spacing w:after="200"/>
      </w:pPr>
    </w:p>
    <w:p w14:paraId="7CB66632" w14:textId="77777777" w:rsidR="00C54027" w:rsidRDefault="00424ADE">
      <w:pPr>
        <w:spacing w:after="200" w:line="360" w:lineRule="auto"/>
        <w:jc w:val="both"/>
      </w:pPr>
      <w:r>
        <w:rPr>
          <w:b/>
          <w:bCs/>
          <w:color w:val="2C2C2C"/>
        </w:rPr>
        <w:t xml:space="preserve">The enclosure. </w:t>
      </w:r>
      <w:r>
        <w:rPr>
          <w:color w:val="2C2C2C"/>
        </w:rPr>
        <w:t>History rhymes. In eighteenth-century England, the Enclosure Acts transferred common land — land that communities had worked for generations — into private ownership. The legal justification was efficiency. The practical consequence was dispossession. Farmers who had sustained themselves on common ground became tenants, then laborers, then dependents of the very system that had taken their land.</w:t>
      </w:r>
    </w:p>
    <w:p w14:paraId="7C7B88B1" w14:textId="77777777" w:rsidR="00C54027" w:rsidRDefault="00424ADE">
      <w:pPr>
        <w:spacing w:after="200" w:line="360" w:lineRule="auto"/>
        <w:jc w:val="both"/>
      </w:pPr>
      <w:r>
        <w:rPr>
          <w:color w:val="2C2C2C"/>
        </w:rPr>
        <w:t>The digital enclosure is quieter but no less complete. Every payment processor, every point-of-sale platform, every commerce API operates on the same implicit bargain: we will process your transactions, but the data is ours. The merchant generates the commercial event. The platform captures it, stores it, monetizes it, and controls access to it. The merchant is a tenant on their own commercial land.</w:t>
      </w:r>
    </w:p>
    <w:p w14:paraId="2A37EA29" w14:textId="77777777" w:rsidR="00C54027" w:rsidRDefault="00424ADE">
      <w:pPr>
        <w:spacing w:after="200" w:line="360" w:lineRule="auto"/>
        <w:jc w:val="both"/>
      </w:pPr>
      <w:r>
        <w:rPr>
          <w:color w:val="2C2C2C"/>
        </w:rPr>
        <w:t>This paper describes an architecture for breaking the enclosure.</w:t>
      </w:r>
    </w:p>
    <w:p w14:paraId="3E1EE41D" w14:textId="77777777" w:rsidR="00C54027" w:rsidRDefault="00C54027">
      <w:pPr>
        <w:spacing w:after="200"/>
      </w:pPr>
    </w:p>
    <w:p w14:paraId="4221EF5F" w14:textId="77777777" w:rsidR="00C54027" w:rsidRDefault="00424ADE">
      <w:pPr>
        <w:spacing w:after="200" w:line="360" w:lineRule="auto"/>
        <w:jc w:val="both"/>
      </w:pPr>
      <w:r>
        <w:rPr>
          <w:i/>
          <w:iCs/>
          <w:color w:val="2C2C2C"/>
        </w:rPr>
        <w:t xml:space="preserve">The canary in the coal mine </w:t>
      </w:r>
      <w:r>
        <w:rPr>
          <w:color w:val="2C2C2C"/>
        </w:rPr>
        <w:t>was never meant to die. It was sent underground as a warning system — a living instrument calibrated to detect danger before it became catastrophe. The miners understood something essential: you do not wait for the air to kill you. You watch the canary.</w:t>
      </w:r>
    </w:p>
    <w:p w14:paraId="2AE8EA40" w14:textId="77777777" w:rsidR="00C54027" w:rsidRDefault="00424ADE">
      <w:pPr>
        <w:spacing w:after="200" w:line="360" w:lineRule="auto"/>
        <w:jc w:val="both"/>
      </w:pPr>
      <w:r>
        <w:rPr>
          <w:color w:val="2C2C2C"/>
        </w:rPr>
        <w:t>In the data mine, there is no canary. There is no warning system. Merchants operate on trust alone — trust in platforms they did not build, databases they cannot audit, and records they do not control. When the air goes bad — a fraudulent chargeback, a disputed refund, an insurance claim with no evidence — the merchant discovers the danger only after the damage is done.</w:t>
      </w:r>
    </w:p>
    <w:p w14:paraId="446F71D1" w14:textId="77777777" w:rsidR="00C54027" w:rsidRDefault="00424ADE">
      <w:pPr>
        <w:spacing w:after="200" w:line="360" w:lineRule="auto"/>
        <w:jc w:val="both"/>
      </w:pPr>
      <w:r>
        <w:rPr>
          <w:color w:val="2C2C2C"/>
        </w:rPr>
        <w:t>The symbolism is deliberate. We called the product Canary because canaries detect what humans cannot. We called the data layer a mine because that is what it is — a place where value is extracted through work, where the deeper you go the more pressure you face, and where the consequences of ignoring the warning signs are not theoretical.</w:t>
      </w:r>
    </w:p>
    <w:p w14:paraId="026E2D3B" w14:textId="77777777" w:rsidR="00C54027" w:rsidRDefault="00C54027">
      <w:pPr>
        <w:spacing w:after="200"/>
      </w:pPr>
    </w:p>
    <w:p w14:paraId="57C9DCCA" w14:textId="77777777" w:rsidR="00C54027" w:rsidRDefault="00424ADE">
      <w:pPr>
        <w:spacing w:after="200" w:line="360" w:lineRule="auto"/>
        <w:jc w:val="both"/>
      </w:pPr>
      <w:r>
        <w:rPr>
          <w:b/>
          <w:bCs/>
          <w:color w:val="2C2C2C"/>
        </w:rPr>
        <w:lastRenderedPageBreak/>
        <w:t xml:space="preserve">A digital declaration of independence. </w:t>
      </w:r>
      <w:r>
        <w:rPr>
          <w:color w:val="2C2C2C"/>
        </w:rPr>
        <w:t xml:space="preserve">What follows in this paper is not a product specification. It is a founding document. It declares that a small business owner’s commercial records are their property. That the proof of what happened in their business should not depend on the goodwill of the platform that processed the payment. That a cryptographic seal applied </w:t>
      </w:r>
      <w:proofErr w:type="gramStart"/>
      <w:r>
        <w:rPr>
          <w:color w:val="2C2C2C"/>
        </w:rPr>
        <w:t>at the moment</w:t>
      </w:r>
      <w:proofErr w:type="gramEnd"/>
      <w:r>
        <w:rPr>
          <w:color w:val="2C2C2C"/>
        </w:rPr>
        <w:t xml:space="preserve"> of a transaction, anchored to the most secure computational network ever constructed by human beings, is a stronger guarantee than any terms of service, any corporate database, any platform promise.</w:t>
      </w:r>
    </w:p>
    <w:p w14:paraId="76281F9A" w14:textId="77777777" w:rsidR="00C54027" w:rsidRDefault="00424ADE">
      <w:pPr>
        <w:spacing w:after="200" w:line="360" w:lineRule="auto"/>
        <w:jc w:val="both"/>
      </w:pPr>
      <w:r>
        <w:rPr>
          <w:color w:val="2C2C2C"/>
        </w:rPr>
        <w:t>We hold these truths to be architecturally self-evident: that every commercial event deserves an independently verifiable record. That the entity which generates a transaction has a sovereign right to its proof. That no platform, no institution, no intermediary should stand between a merchant and the cryptographic evidence of their own commerce.</w:t>
      </w:r>
    </w:p>
    <w:p w14:paraId="7C514F34" w14:textId="77777777" w:rsidR="00C54027" w:rsidRDefault="00424ADE">
      <w:pPr>
        <w:spacing w:after="200" w:line="360" w:lineRule="auto"/>
        <w:jc w:val="both"/>
      </w:pPr>
      <w:r>
        <w:rPr>
          <w:color w:val="2C2C2C"/>
        </w:rPr>
        <w:t>The technology to honor these principles exists today. Bitcoin provides an immutable time chain secured by proof-of-work — a record that cannot be altered without re-doing the computational work of every subsequent block, a thermodynamic impossibility at scale. The Lightning Network provides instant micropayments at negligible cost. The Ordinals protocol provides a native mechanism for inscribing permanent records directly on the Bitcoin base chain. What has been missing is the architecture to connect everyday commerce to these capabilities — invisibly, affordably, and without requiring any merchant to understand a single thing about blockchain.</w:t>
      </w:r>
    </w:p>
    <w:p w14:paraId="56586C42" w14:textId="77777777" w:rsidR="00C54027" w:rsidRDefault="00424ADE">
      <w:pPr>
        <w:spacing w:after="200" w:line="360" w:lineRule="auto"/>
        <w:jc w:val="both"/>
      </w:pPr>
      <w:r>
        <w:rPr>
          <w:color w:val="2C2C2C"/>
        </w:rPr>
        <w:t>That architecture is the subject of this paper and the subject of U.S. Provisional Patent Application No. 63/991,596, filed February 26, 2026.</w:t>
      </w:r>
    </w:p>
    <w:p w14:paraId="193E0F3F" w14:textId="77777777" w:rsidR="00C54027" w:rsidRDefault="00C54027">
      <w:pPr>
        <w:spacing w:after="200"/>
      </w:pPr>
    </w:p>
    <w:p w14:paraId="7CDBB39B" w14:textId="77777777" w:rsidR="00C54027" w:rsidRDefault="00424ADE">
      <w:pPr>
        <w:spacing w:after="200" w:line="360" w:lineRule="auto"/>
        <w:jc w:val="both"/>
      </w:pPr>
      <w:r>
        <w:rPr>
          <w:b/>
          <w:bCs/>
          <w:color w:val="2C2C2C"/>
        </w:rPr>
        <w:t xml:space="preserve">Why now. </w:t>
      </w:r>
      <w:r>
        <w:rPr>
          <w:color w:val="2C2C2C"/>
        </w:rPr>
        <w:t xml:space="preserve">Because the world is moving to cyberspace — literally. Satellite networks are becoming commerce networks. Digital transactions are crossing jurisdictions at the speed of light. The fixed-perimeter security model — the idea that your data is safe because it sits inside a corporate firewall — is already obsolete. In a world where commercial data </w:t>
      </w:r>
      <w:r>
        <w:rPr>
          <w:color w:val="2C2C2C"/>
        </w:rPr>
        <w:lastRenderedPageBreak/>
        <w:t xml:space="preserve">travels across networks, platforms, and borders continuously, the only firewall that matters </w:t>
      </w:r>
      <w:proofErr w:type="gramStart"/>
      <w:r>
        <w:rPr>
          <w:color w:val="2C2C2C"/>
        </w:rPr>
        <w:t>is</w:t>
      </w:r>
      <w:proofErr w:type="gramEnd"/>
      <w:r>
        <w:rPr>
          <w:color w:val="2C2C2C"/>
        </w:rPr>
        <w:t xml:space="preserve"> one that travels with the data itself.</w:t>
      </w:r>
    </w:p>
    <w:p w14:paraId="13864BB4" w14:textId="77777777" w:rsidR="00C54027" w:rsidRDefault="00424ADE">
      <w:pPr>
        <w:spacing w:after="200" w:line="360" w:lineRule="auto"/>
        <w:jc w:val="both"/>
      </w:pPr>
      <w:r>
        <w:rPr>
          <w:color w:val="2C2C2C"/>
        </w:rPr>
        <w:t>We call this the travelling firewall: a cryptographic envelope that seals a commercial event at the point of origin and accompanies it through any number of systems, jurisdictions, and storage tiers. At any point in its lifecycle, any party can verify the integrity and provenance of the event by reference to the Bitcoin time chain alone. The envelope is the firewall. It does not depend on where the data sits. It does not depend on who stores it. It does not depend on whether the original platform still exists.</w:t>
      </w:r>
    </w:p>
    <w:p w14:paraId="2212FEC0" w14:textId="77777777" w:rsidR="00C54027" w:rsidRDefault="00424ADE">
      <w:pPr>
        <w:spacing w:after="200" w:line="360" w:lineRule="auto"/>
        <w:jc w:val="both"/>
      </w:pPr>
      <w:r>
        <w:rPr>
          <w:b/>
          <w:bCs/>
          <w:color w:val="2C2C2C"/>
        </w:rPr>
        <w:t xml:space="preserve">Why you should care. </w:t>
      </w:r>
      <w:r>
        <w:rPr>
          <w:color w:val="2C2C2C"/>
        </w:rPr>
        <w:t>Because data sovereignty is not an abstract principle. It is the difference between a merchant who can prove what happened and a merchant who must ask permission to remember. It is the difference between a financial record that survives the destruction of the platform that created it and one that vanishes when a company pivots, a server fails, or a contract expires. It is the difference between a world where your commercial identity is controlled by the platforms you depend on and one where it travels with you — across every network, every jurisdiction, every system you will ever use.</w:t>
      </w:r>
    </w:p>
    <w:p w14:paraId="4DC3D4BB" w14:textId="77777777" w:rsidR="00C54027" w:rsidRDefault="00C54027">
      <w:pPr>
        <w:spacing w:after="200"/>
      </w:pPr>
    </w:p>
    <w:p w14:paraId="6CC4E0A0" w14:textId="77777777" w:rsidR="00C54027" w:rsidRDefault="00424ADE">
      <w:pPr>
        <w:spacing w:after="200" w:line="360" w:lineRule="auto"/>
        <w:jc w:val="both"/>
      </w:pPr>
      <w:r>
        <w:rPr>
          <w:b/>
          <w:bCs/>
          <w:color w:val="2C2C2C"/>
        </w:rPr>
        <w:t xml:space="preserve">The self-sustaining loop. </w:t>
      </w:r>
      <w:r>
        <w:rPr>
          <w:color w:val="2C2C2C"/>
        </w:rPr>
        <w:t>The final piece of this architecture is economic. A system that depends on external subsidy to operate is not sovereign — it merely exchanges one dependency for another. The architecture described in this paper includes a self-sustaining economic loop: commercial events are inscribed on Bitcoin, third parties pay Lightning micropayments to verify those inscriptions, the revenue funds further inscription, and the cycle continues. The flywheel effect means the system reaches economic self-sustainability at a modest merchant count. Our modeling indicates approximately 17 active merchants.</w:t>
      </w:r>
    </w:p>
    <w:p w14:paraId="57EA3A08" w14:textId="77777777" w:rsidR="00C54027" w:rsidRDefault="00424ADE">
      <w:pPr>
        <w:spacing w:after="200" w:line="360" w:lineRule="auto"/>
        <w:jc w:val="both"/>
      </w:pPr>
      <w:r>
        <w:rPr>
          <w:color w:val="2C2C2C"/>
        </w:rPr>
        <w:t>Seventeen merchants. That is the threshold at which the system sustains itself. That is the number at which the digital declaration of independence stops being a thesis and starts being an economy.</w:t>
      </w:r>
    </w:p>
    <w:p w14:paraId="4FC131ED" w14:textId="77777777" w:rsidR="00C54027" w:rsidRDefault="00C54027">
      <w:pPr>
        <w:spacing w:after="200"/>
      </w:pPr>
    </w:p>
    <w:p w14:paraId="41A535F4" w14:textId="77777777" w:rsidR="00C54027" w:rsidRDefault="00424ADE">
      <w:pPr>
        <w:spacing w:after="200" w:line="360" w:lineRule="auto"/>
        <w:jc w:val="both"/>
      </w:pPr>
      <w:r>
        <w:rPr>
          <w:color w:val="2C2C2C"/>
        </w:rPr>
        <w:lastRenderedPageBreak/>
        <w:t xml:space="preserve">What follows is a descent into the mine. Part A establishes why data sovereignty is not a feature but a first principle — why the opt-in, opt-out control of digital identity is one of the most powerful concepts in modern commerce. Part B describes the architecture — the six-node pipeline, the Triple Subscriber Pattern, the </w:t>
      </w:r>
      <w:proofErr w:type="spellStart"/>
      <w:r>
        <w:rPr>
          <w:color w:val="2C2C2C"/>
        </w:rPr>
        <w:t>elJeffe</w:t>
      </w:r>
      <w:proofErr w:type="spellEnd"/>
      <w:r>
        <w:rPr>
          <w:color w:val="2C2C2C"/>
        </w:rPr>
        <w:t xml:space="preserve"> Protocol that makes commercial events independently verifiable on the Bitcoin time chain. Part C grounds the architecture in a live implementation: Canary LP, a loss prevention platform for </w:t>
      </w:r>
      <w:proofErr w:type="gramStart"/>
      <w:r>
        <w:rPr>
          <w:color w:val="2C2C2C"/>
        </w:rPr>
        <w:t>Square</w:t>
      </w:r>
      <w:proofErr w:type="gramEnd"/>
      <w:r>
        <w:rPr>
          <w:color w:val="2C2C2C"/>
        </w:rPr>
        <w:t xml:space="preserve"> merchants, built against a frozen specification of 174 acceptance criteria. Part D documents how the system was built — using the same discipline of specification, verification, and evidence that the system itself enforces on commercial data.</w:t>
      </w:r>
    </w:p>
    <w:p w14:paraId="7A1397D8" w14:textId="77777777" w:rsidR="00C54027" w:rsidRDefault="00424ADE">
      <w:pPr>
        <w:spacing w:after="200" w:line="360" w:lineRule="auto"/>
        <w:jc w:val="both"/>
      </w:pPr>
      <w:r>
        <w:rPr>
          <w:color w:val="2C2C2C"/>
        </w:rPr>
        <w:t>Jefferson gave the agrarian farmer a republic. We are giving the digital merchant a protocol.</w:t>
      </w:r>
    </w:p>
    <w:p w14:paraId="5CB5413D" w14:textId="77777777" w:rsidR="00C54027" w:rsidRDefault="00424ADE">
      <w:pPr>
        <w:spacing w:after="200" w:line="360" w:lineRule="auto"/>
        <w:jc w:val="both"/>
      </w:pPr>
      <w:r>
        <w:rPr>
          <w:color w:val="2C2C2C"/>
        </w:rPr>
        <w:t>The canary is alive. It is underground. And it is singing.</w:t>
      </w:r>
    </w:p>
    <w:p w14:paraId="3094A018" w14:textId="77777777" w:rsidR="00C54027" w:rsidRDefault="00C54027">
      <w:pPr>
        <w:spacing w:after="400"/>
      </w:pPr>
    </w:p>
    <w:p w14:paraId="50CE97E1" w14:textId="77777777" w:rsidR="00C54027" w:rsidRDefault="00424ADE">
      <w:pPr>
        <w:spacing w:after="80"/>
        <w:jc w:val="right"/>
      </w:pPr>
      <w:r>
        <w:rPr>
          <w:i/>
          <w:iCs/>
          <w:color w:val="2C2C2C"/>
        </w:rPr>
        <w:t>Geoffrey C. Lyle</w:t>
      </w:r>
    </w:p>
    <w:p w14:paraId="20A56071" w14:textId="77777777" w:rsidR="00C54027" w:rsidRDefault="00424ADE">
      <w:pPr>
        <w:spacing w:after="80"/>
        <w:jc w:val="right"/>
      </w:pPr>
      <w:r>
        <w:rPr>
          <w:color w:val="555555"/>
          <w:sz w:val="22"/>
          <w:szCs w:val="22"/>
        </w:rPr>
        <w:t xml:space="preserve">Founder, </w:t>
      </w:r>
      <w:proofErr w:type="spellStart"/>
      <w:r>
        <w:rPr>
          <w:color w:val="555555"/>
          <w:sz w:val="22"/>
          <w:szCs w:val="22"/>
        </w:rPr>
        <w:t>GrowDirect</w:t>
      </w:r>
      <w:proofErr w:type="spellEnd"/>
      <w:r>
        <w:rPr>
          <w:color w:val="555555"/>
          <w:sz w:val="22"/>
          <w:szCs w:val="22"/>
        </w:rPr>
        <w:t xml:space="preserve"> Inc.</w:t>
      </w:r>
    </w:p>
    <w:p w14:paraId="03719064" w14:textId="77777777" w:rsidR="00C54027" w:rsidRDefault="00424ADE">
      <w:pPr>
        <w:jc w:val="right"/>
      </w:pPr>
      <w:r>
        <w:rPr>
          <w:color w:val="555555"/>
          <w:sz w:val="22"/>
          <w:szCs w:val="22"/>
        </w:rPr>
        <w:t>March 2026</w:t>
      </w:r>
    </w:p>
    <w:p w14:paraId="36BD0ECA" w14:textId="77777777" w:rsidR="00C54027" w:rsidRDefault="00C54027">
      <w:pPr>
        <w:sectPr w:rsidR="00C54027">
          <w:headerReference w:type="default" r:id="rId7"/>
          <w:pgSz w:w="12240" w:h="15840"/>
          <w:pgMar w:top="1800" w:right="1440" w:bottom="1440" w:left="1440" w:header="708" w:footer="708" w:gutter="0"/>
          <w:cols w:space="720"/>
          <w:docGrid w:linePitch="360"/>
        </w:sectPr>
      </w:pPr>
    </w:p>
    <w:p w14:paraId="0DED39A5" w14:textId="77777777" w:rsidR="00C54027" w:rsidRDefault="00424ADE">
      <w:pPr>
        <w:pStyle w:val="Heading1"/>
      </w:pPr>
      <w:bookmarkStart w:id="0" w:name="_Toc223417790"/>
      <w:r>
        <w:lastRenderedPageBreak/>
        <w:t>Abstract</w:t>
      </w:r>
      <w:bookmarkEnd w:id="0"/>
    </w:p>
    <w:p w14:paraId="60C935BF" w14:textId="77777777" w:rsidR="00C54027" w:rsidRDefault="00424ADE">
      <w:pPr>
        <w:spacing w:after="200" w:line="360" w:lineRule="auto"/>
        <w:jc w:val="both"/>
      </w:pPr>
      <w:r>
        <w:rPr>
          <w:color w:val="2C2C2C"/>
        </w:rPr>
        <w:t>This paper presents the design, architecture, and theoretical foundations of a universal event notarization system that inscribes cryptographic proof of commercial transactions onto the Bitcoin time chain. The system addresses a fundamental gap in digital commerce: the absence of independently verifiable, immutable records of everyday commercial events that exist outside the control of any single platform or institution.</w:t>
      </w:r>
    </w:p>
    <w:p w14:paraId="221FD32E" w14:textId="77777777" w:rsidR="00C54027" w:rsidRDefault="00424ADE">
      <w:pPr>
        <w:spacing w:after="200" w:line="360" w:lineRule="auto"/>
        <w:jc w:val="both"/>
      </w:pPr>
      <w:r>
        <w:rPr>
          <w:color w:val="2C2C2C"/>
        </w:rPr>
        <w:t>Drawing on Design Science Research methodology and a sovereignty-first thesis, we describe a six-node pipeline architecture with a novel Triple Subscriber Pattern that decouples evidence preservation, application storage, and blockchain inscription into independent, fault-tolerant processing streams. The architecture introduces a pseudonymous namespace system on Bitcoin Layer 1, a staged immutability model progressing from application-layer integrity through evidence-grade storage to permanent on-chain anchoring, and a self-sustaining economic loop powered by Lightning Network micropayments.</w:t>
      </w:r>
    </w:p>
    <w:p w14:paraId="39F549AD" w14:textId="77777777" w:rsidR="00C54027" w:rsidRDefault="00424ADE">
      <w:pPr>
        <w:spacing w:after="200" w:line="360" w:lineRule="auto"/>
        <w:jc w:val="both"/>
      </w:pPr>
      <w:r>
        <w:rPr>
          <w:color w:val="2C2C2C"/>
        </w:rPr>
        <w:t xml:space="preserve">We ground this work in a live case study: Canary LP, a loss prevention platform for </w:t>
      </w:r>
      <w:proofErr w:type="gramStart"/>
      <w:r>
        <w:rPr>
          <w:color w:val="2C2C2C"/>
        </w:rPr>
        <w:t>Square</w:t>
      </w:r>
      <w:proofErr w:type="gramEnd"/>
      <w:r>
        <w:rPr>
          <w:color w:val="2C2C2C"/>
        </w:rPr>
        <w:t xml:space="preserve"> merchants currently under active development against a frozen specification of 27 features and 174 acceptance criteria. The implementation demonstrates that cryptographic commercial proof is achievable at the point-of-sale level using existing Bitcoin infrastructure, without requiring merchants to understand or interact with the underlying blockchain.</w:t>
      </w:r>
    </w:p>
    <w:p w14:paraId="12185402" w14:textId="77777777" w:rsidR="00C54027" w:rsidRDefault="00424ADE">
      <w:pPr>
        <w:spacing w:after="200" w:line="360" w:lineRule="auto"/>
        <w:jc w:val="both"/>
      </w:pPr>
      <w:r>
        <w:rPr>
          <w:i/>
          <w:iCs/>
          <w:color w:val="2C2C2C"/>
        </w:rPr>
        <w:t>The system is the subject of U.S. Provisional Patent Application No. 63/991,596</w:t>
      </w:r>
      <w:r>
        <w:rPr>
          <w:color w:val="2C2C2C"/>
        </w:rPr>
        <w:t>, filed February 26, 2026, covering five claims across six industry embodiments including retail, healthcare, supply chain, legal, insurance, and government.</w:t>
      </w:r>
    </w:p>
    <w:p w14:paraId="4A5B8241" w14:textId="77777777" w:rsidR="00C54027" w:rsidRDefault="00424ADE">
      <w:r>
        <w:br w:type="page"/>
      </w:r>
    </w:p>
    <w:p w14:paraId="33A0D3ED" w14:textId="77777777" w:rsidR="00C54027" w:rsidRDefault="00424ADE">
      <w:pPr>
        <w:pStyle w:val="Heading1"/>
      </w:pPr>
      <w:bookmarkStart w:id="1" w:name="_Toc223417791"/>
      <w:r>
        <w:lastRenderedPageBreak/>
        <w:t>Table of Contents</w:t>
      </w:r>
      <w:bookmarkEnd w:id="1"/>
    </w:p>
    <w:sdt>
      <w:sdtPr>
        <w:alias w:val="Table of Contents"/>
        <w:id w:val="1489595830"/>
      </w:sdtPr>
      <w:sdtContent>
        <w:p w14:paraId="3BEEFC8C" w14:textId="1C9E8F6A" w:rsidR="00472E47" w:rsidRDefault="00424ADE">
          <w:pPr>
            <w:pStyle w:val="TOC1"/>
            <w:tabs>
              <w:tab w:val="right" w:leader="dot" w:pos="9350"/>
            </w:tabs>
            <w:rPr>
              <w:noProof/>
            </w:rPr>
          </w:pPr>
          <w:r>
            <w:fldChar w:fldCharType="begin"/>
          </w:r>
          <w:r>
            <w:instrText>TOC \h \o "1-3"</w:instrText>
          </w:r>
          <w:r>
            <w:fldChar w:fldCharType="separate"/>
          </w:r>
          <w:hyperlink w:anchor="_Toc223417790" w:history="1">
            <w:r w:rsidR="00472E47" w:rsidRPr="00587295">
              <w:rPr>
                <w:rStyle w:val="Hyperlink"/>
                <w:noProof/>
              </w:rPr>
              <w:t>Abstract</w:t>
            </w:r>
            <w:r w:rsidR="00472E47">
              <w:rPr>
                <w:noProof/>
              </w:rPr>
              <w:tab/>
            </w:r>
            <w:r w:rsidR="00472E47">
              <w:rPr>
                <w:noProof/>
              </w:rPr>
              <w:fldChar w:fldCharType="begin"/>
            </w:r>
            <w:r w:rsidR="00472E47">
              <w:rPr>
                <w:noProof/>
              </w:rPr>
              <w:instrText xml:space="preserve"> PAGEREF _Toc223417790 \h </w:instrText>
            </w:r>
            <w:r w:rsidR="00472E47">
              <w:rPr>
                <w:noProof/>
              </w:rPr>
            </w:r>
            <w:r w:rsidR="00472E47">
              <w:rPr>
                <w:noProof/>
              </w:rPr>
              <w:fldChar w:fldCharType="separate"/>
            </w:r>
            <w:r w:rsidR="00644FCE">
              <w:rPr>
                <w:noProof/>
              </w:rPr>
              <w:t>7</w:t>
            </w:r>
            <w:r w:rsidR="00472E47">
              <w:rPr>
                <w:noProof/>
              </w:rPr>
              <w:fldChar w:fldCharType="end"/>
            </w:r>
          </w:hyperlink>
        </w:p>
        <w:p w14:paraId="5A5B4B58" w14:textId="6D480BC2" w:rsidR="00472E47" w:rsidRDefault="00472E47">
          <w:pPr>
            <w:pStyle w:val="TOC1"/>
            <w:tabs>
              <w:tab w:val="right" w:leader="dot" w:pos="9350"/>
            </w:tabs>
            <w:rPr>
              <w:noProof/>
            </w:rPr>
          </w:pPr>
          <w:hyperlink w:anchor="_Toc223417791" w:history="1">
            <w:r w:rsidRPr="00587295">
              <w:rPr>
                <w:rStyle w:val="Hyperlink"/>
                <w:noProof/>
              </w:rPr>
              <w:t>Table of Contents</w:t>
            </w:r>
            <w:r>
              <w:rPr>
                <w:noProof/>
              </w:rPr>
              <w:tab/>
            </w:r>
            <w:r>
              <w:rPr>
                <w:noProof/>
              </w:rPr>
              <w:fldChar w:fldCharType="begin"/>
            </w:r>
            <w:r>
              <w:rPr>
                <w:noProof/>
              </w:rPr>
              <w:instrText xml:space="preserve"> PAGEREF _Toc223417791 \h </w:instrText>
            </w:r>
            <w:r>
              <w:rPr>
                <w:noProof/>
              </w:rPr>
            </w:r>
            <w:r>
              <w:rPr>
                <w:noProof/>
              </w:rPr>
              <w:fldChar w:fldCharType="separate"/>
            </w:r>
            <w:r w:rsidR="00644FCE">
              <w:rPr>
                <w:noProof/>
              </w:rPr>
              <w:t>8</w:t>
            </w:r>
            <w:r>
              <w:rPr>
                <w:noProof/>
              </w:rPr>
              <w:fldChar w:fldCharType="end"/>
            </w:r>
          </w:hyperlink>
        </w:p>
        <w:p w14:paraId="7B66498E" w14:textId="67D713E5" w:rsidR="00472E47" w:rsidRDefault="00472E47">
          <w:pPr>
            <w:pStyle w:val="TOC1"/>
            <w:tabs>
              <w:tab w:val="right" w:leader="dot" w:pos="9350"/>
            </w:tabs>
            <w:rPr>
              <w:noProof/>
            </w:rPr>
          </w:pPr>
          <w:hyperlink w:anchor="_Toc223417792" w:history="1">
            <w:r w:rsidRPr="00587295">
              <w:rPr>
                <w:rStyle w:val="Hyperlink"/>
                <w:noProof/>
              </w:rPr>
              <w:t>Part A: The Sovereignty Thesis</w:t>
            </w:r>
            <w:r>
              <w:rPr>
                <w:noProof/>
              </w:rPr>
              <w:tab/>
            </w:r>
            <w:r>
              <w:rPr>
                <w:noProof/>
              </w:rPr>
              <w:fldChar w:fldCharType="begin"/>
            </w:r>
            <w:r>
              <w:rPr>
                <w:noProof/>
              </w:rPr>
              <w:instrText xml:space="preserve"> PAGEREF _Toc223417792 \h </w:instrText>
            </w:r>
            <w:r>
              <w:rPr>
                <w:noProof/>
              </w:rPr>
            </w:r>
            <w:r>
              <w:rPr>
                <w:noProof/>
              </w:rPr>
              <w:fldChar w:fldCharType="separate"/>
            </w:r>
            <w:r w:rsidR="00644FCE">
              <w:rPr>
                <w:noProof/>
              </w:rPr>
              <w:t>10</w:t>
            </w:r>
            <w:r>
              <w:rPr>
                <w:noProof/>
              </w:rPr>
              <w:fldChar w:fldCharType="end"/>
            </w:r>
          </w:hyperlink>
        </w:p>
        <w:p w14:paraId="1E20BD95" w14:textId="7ADBFE8A" w:rsidR="00472E47" w:rsidRDefault="00472E47">
          <w:pPr>
            <w:pStyle w:val="TOC2"/>
            <w:tabs>
              <w:tab w:val="right" w:leader="dot" w:pos="9350"/>
            </w:tabs>
            <w:rPr>
              <w:noProof/>
            </w:rPr>
          </w:pPr>
          <w:hyperlink w:anchor="_Toc223417793" w:history="1">
            <w:r w:rsidRPr="00587295">
              <w:rPr>
                <w:rStyle w:val="Hyperlink"/>
                <w:noProof/>
              </w:rPr>
              <w:t>1. The Problem of Digital Impermanence</w:t>
            </w:r>
            <w:r>
              <w:rPr>
                <w:noProof/>
              </w:rPr>
              <w:tab/>
            </w:r>
            <w:r>
              <w:rPr>
                <w:noProof/>
              </w:rPr>
              <w:fldChar w:fldCharType="begin"/>
            </w:r>
            <w:r>
              <w:rPr>
                <w:noProof/>
              </w:rPr>
              <w:instrText xml:space="preserve"> PAGEREF _Toc223417793 \h </w:instrText>
            </w:r>
            <w:r>
              <w:rPr>
                <w:noProof/>
              </w:rPr>
            </w:r>
            <w:r>
              <w:rPr>
                <w:noProof/>
              </w:rPr>
              <w:fldChar w:fldCharType="separate"/>
            </w:r>
            <w:r w:rsidR="00644FCE">
              <w:rPr>
                <w:noProof/>
              </w:rPr>
              <w:t>10</w:t>
            </w:r>
            <w:r>
              <w:rPr>
                <w:noProof/>
              </w:rPr>
              <w:fldChar w:fldCharType="end"/>
            </w:r>
          </w:hyperlink>
        </w:p>
        <w:p w14:paraId="6915AD4E" w14:textId="5781AEF9" w:rsidR="00472E47" w:rsidRDefault="00472E47">
          <w:pPr>
            <w:pStyle w:val="TOC2"/>
            <w:tabs>
              <w:tab w:val="right" w:leader="dot" w:pos="9350"/>
            </w:tabs>
            <w:rPr>
              <w:noProof/>
            </w:rPr>
          </w:pPr>
          <w:hyperlink w:anchor="_Toc223417794" w:history="1">
            <w:r w:rsidRPr="00587295">
              <w:rPr>
                <w:rStyle w:val="Hyperlink"/>
                <w:noProof/>
              </w:rPr>
              <w:t>2. Sovereignty as a Design Principle</w:t>
            </w:r>
            <w:r>
              <w:rPr>
                <w:noProof/>
              </w:rPr>
              <w:tab/>
            </w:r>
            <w:r>
              <w:rPr>
                <w:noProof/>
              </w:rPr>
              <w:fldChar w:fldCharType="begin"/>
            </w:r>
            <w:r>
              <w:rPr>
                <w:noProof/>
              </w:rPr>
              <w:instrText xml:space="preserve"> PAGEREF _Toc223417794 \h </w:instrText>
            </w:r>
            <w:r>
              <w:rPr>
                <w:noProof/>
              </w:rPr>
            </w:r>
            <w:r>
              <w:rPr>
                <w:noProof/>
              </w:rPr>
              <w:fldChar w:fldCharType="separate"/>
            </w:r>
            <w:r w:rsidR="00644FCE">
              <w:rPr>
                <w:noProof/>
              </w:rPr>
              <w:t>10</w:t>
            </w:r>
            <w:r>
              <w:rPr>
                <w:noProof/>
              </w:rPr>
              <w:fldChar w:fldCharType="end"/>
            </w:r>
          </w:hyperlink>
        </w:p>
        <w:p w14:paraId="7FA681AB" w14:textId="355058B4" w:rsidR="00472E47" w:rsidRDefault="00472E47">
          <w:pPr>
            <w:pStyle w:val="TOC2"/>
            <w:tabs>
              <w:tab w:val="right" w:leader="dot" w:pos="9350"/>
            </w:tabs>
            <w:rPr>
              <w:noProof/>
            </w:rPr>
          </w:pPr>
          <w:hyperlink w:anchor="_Toc223417795" w:history="1">
            <w:r w:rsidRPr="00587295">
              <w:rPr>
                <w:rStyle w:val="Hyperlink"/>
                <w:noProof/>
              </w:rPr>
              <w:t>3. The Travelling Firewall</w:t>
            </w:r>
            <w:r>
              <w:rPr>
                <w:noProof/>
              </w:rPr>
              <w:tab/>
            </w:r>
            <w:r>
              <w:rPr>
                <w:noProof/>
              </w:rPr>
              <w:fldChar w:fldCharType="begin"/>
            </w:r>
            <w:r>
              <w:rPr>
                <w:noProof/>
              </w:rPr>
              <w:instrText xml:space="preserve"> PAGEREF _Toc223417795 \h </w:instrText>
            </w:r>
            <w:r>
              <w:rPr>
                <w:noProof/>
              </w:rPr>
            </w:r>
            <w:r>
              <w:rPr>
                <w:noProof/>
              </w:rPr>
              <w:fldChar w:fldCharType="separate"/>
            </w:r>
            <w:r w:rsidR="00644FCE">
              <w:rPr>
                <w:noProof/>
              </w:rPr>
              <w:t>11</w:t>
            </w:r>
            <w:r>
              <w:rPr>
                <w:noProof/>
              </w:rPr>
              <w:fldChar w:fldCharType="end"/>
            </w:r>
          </w:hyperlink>
        </w:p>
        <w:p w14:paraId="31C97263" w14:textId="3299B9E6" w:rsidR="00472E47" w:rsidRDefault="00472E47">
          <w:pPr>
            <w:pStyle w:val="TOC2"/>
            <w:tabs>
              <w:tab w:val="right" w:leader="dot" w:pos="9350"/>
            </w:tabs>
            <w:rPr>
              <w:noProof/>
            </w:rPr>
          </w:pPr>
          <w:hyperlink w:anchor="_Toc223417796" w:history="1">
            <w:r w:rsidRPr="00587295">
              <w:rPr>
                <w:rStyle w:val="Hyperlink"/>
                <w:noProof/>
              </w:rPr>
              <w:t>4. Opt-In Identity and Pseudonymous Participation</w:t>
            </w:r>
            <w:r>
              <w:rPr>
                <w:noProof/>
              </w:rPr>
              <w:tab/>
            </w:r>
            <w:r>
              <w:rPr>
                <w:noProof/>
              </w:rPr>
              <w:fldChar w:fldCharType="begin"/>
            </w:r>
            <w:r>
              <w:rPr>
                <w:noProof/>
              </w:rPr>
              <w:instrText xml:space="preserve"> PAGEREF _Toc223417796 \h </w:instrText>
            </w:r>
            <w:r>
              <w:rPr>
                <w:noProof/>
              </w:rPr>
            </w:r>
            <w:r>
              <w:rPr>
                <w:noProof/>
              </w:rPr>
              <w:fldChar w:fldCharType="separate"/>
            </w:r>
            <w:r w:rsidR="00644FCE">
              <w:rPr>
                <w:noProof/>
              </w:rPr>
              <w:t>12</w:t>
            </w:r>
            <w:r>
              <w:rPr>
                <w:noProof/>
              </w:rPr>
              <w:fldChar w:fldCharType="end"/>
            </w:r>
          </w:hyperlink>
        </w:p>
        <w:p w14:paraId="1835FDC9" w14:textId="3CD6ADB0" w:rsidR="00472E47" w:rsidRDefault="00472E47">
          <w:pPr>
            <w:pStyle w:val="TOC2"/>
            <w:tabs>
              <w:tab w:val="right" w:leader="dot" w:pos="9350"/>
            </w:tabs>
            <w:rPr>
              <w:noProof/>
            </w:rPr>
          </w:pPr>
          <w:hyperlink w:anchor="_Toc223417797" w:history="1">
            <w:r w:rsidRPr="00587295">
              <w:rPr>
                <w:rStyle w:val="Hyperlink"/>
                <w:noProof/>
              </w:rPr>
              <w:t>5. The Self-Sustaining Economic Loop</w:t>
            </w:r>
            <w:r>
              <w:rPr>
                <w:noProof/>
              </w:rPr>
              <w:tab/>
            </w:r>
            <w:r>
              <w:rPr>
                <w:noProof/>
              </w:rPr>
              <w:fldChar w:fldCharType="begin"/>
            </w:r>
            <w:r>
              <w:rPr>
                <w:noProof/>
              </w:rPr>
              <w:instrText xml:space="preserve"> PAGEREF _Toc223417797 \h </w:instrText>
            </w:r>
            <w:r>
              <w:rPr>
                <w:noProof/>
              </w:rPr>
            </w:r>
            <w:r>
              <w:rPr>
                <w:noProof/>
              </w:rPr>
              <w:fldChar w:fldCharType="separate"/>
            </w:r>
            <w:r w:rsidR="00644FCE">
              <w:rPr>
                <w:noProof/>
              </w:rPr>
              <w:t>12</w:t>
            </w:r>
            <w:r>
              <w:rPr>
                <w:noProof/>
              </w:rPr>
              <w:fldChar w:fldCharType="end"/>
            </w:r>
          </w:hyperlink>
        </w:p>
        <w:p w14:paraId="6A55B5E0" w14:textId="2001CFA6" w:rsidR="00472E47" w:rsidRDefault="00472E47">
          <w:pPr>
            <w:pStyle w:val="TOC1"/>
            <w:tabs>
              <w:tab w:val="right" w:leader="dot" w:pos="9350"/>
            </w:tabs>
            <w:rPr>
              <w:noProof/>
            </w:rPr>
          </w:pPr>
          <w:hyperlink w:anchor="_Toc223417798" w:history="1">
            <w:r w:rsidRPr="00587295">
              <w:rPr>
                <w:rStyle w:val="Hyperlink"/>
                <w:noProof/>
              </w:rPr>
              <w:t>Part B: Design Science — System Architecture</w:t>
            </w:r>
            <w:r>
              <w:rPr>
                <w:noProof/>
              </w:rPr>
              <w:tab/>
            </w:r>
            <w:r>
              <w:rPr>
                <w:noProof/>
              </w:rPr>
              <w:fldChar w:fldCharType="begin"/>
            </w:r>
            <w:r>
              <w:rPr>
                <w:noProof/>
              </w:rPr>
              <w:instrText xml:space="preserve"> PAGEREF _Toc223417798 \h </w:instrText>
            </w:r>
            <w:r>
              <w:rPr>
                <w:noProof/>
              </w:rPr>
            </w:r>
            <w:r>
              <w:rPr>
                <w:noProof/>
              </w:rPr>
              <w:fldChar w:fldCharType="separate"/>
            </w:r>
            <w:r w:rsidR="00644FCE">
              <w:rPr>
                <w:noProof/>
              </w:rPr>
              <w:t>14</w:t>
            </w:r>
            <w:r>
              <w:rPr>
                <w:noProof/>
              </w:rPr>
              <w:fldChar w:fldCharType="end"/>
            </w:r>
          </w:hyperlink>
        </w:p>
        <w:p w14:paraId="752F3281" w14:textId="7617FED9" w:rsidR="00472E47" w:rsidRDefault="00472E47">
          <w:pPr>
            <w:pStyle w:val="TOC2"/>
            <w:tabs>
              <w:tab w:val="right" w:leader="dot" w:pos="9350"/>
            </w:tabs>
            <w:rPr>
              <w:noProof/>
            </w:rPr>
          </w:pPr>
          <w:hyperlink w:anchor="_Toc223417799" w:history="1">
            <w:r w:rsidRPr="00587295">
              <w:rPr>
                <w:rStyle w:val="Hyperlink"/>
                <w:noProof/>
              </w:rPr>
              <w:t>6. Methodology: Design Science Research</w:t>
            </w:r>
            <w:r>
              <w:rPr>
                <w:noProof/>
              </w:rPr>
              <w:tab/>
            </w:r>
            <w:r>
              <w:rPr>
                <w:noProof/>
              </w:rPr>
              <w:fldChar w:fldCharType="begin"/>
            </w:r>
            <w:r>
              <w:rPr>
                <w:noProof/>
              </w:rPr>
              <w:instrText xml:space="preserve"> PAGEREF _Toc223417799 \h </w:instrText>
            </w:r>
            <w:r>
              <w:rPr>
                <w:noProof/>
              </w:rPr>
            </w:r>
            <w:r>
              <w:rPr>
                <w:noProof/>
              </w:rPr>
              <w:fldChar w:fldCharType="separate"/>
            </w:r>
            <w:r w:rsidR="00644FCE">
              <w:rPr>
                <w:noProof/>
              </w:rPr>
              <w:t>14</w:t>
            </w:r>
            <w:r>
              <w:rPr>
                <w:noProof/>
              </w:rPr>
              <w:fldChar w:fldCharType="end"/>
            </w:r>
          </w:hyperlink>
        </w:p>
        <w:p w14:paraId="2EB180CA" w14:textId="2CB220FE" w:rsidR="00472E47" w:rsidRDefault="00472E47">
          <w:pPr>
            <w:pStyle w:val="TOC2"/>
            <w:tabs>
              <w:tab w:val="right" w:leader="dot" w:pos="9350"/>
            </w:tabs>
            <w:rPr>
              <w:noProof/>
            </w:rPr>
          </w:pPr>
          <w:hyperlink w:anchor="_Toc223417800" w:history="1">
            <w:r w:rsidRPr="00587295">
              <w:rPr>
                <w:rStyle w:val="Hyperlink"/>
                <w:noProof/>
              </w:rPr>
              <w:t>7. The Six-Node Pipeline Architecture</w:t>
            </w:r>
            <w:r>
              <w:rPr>
                <w:noProof/>
              </w:rPr>
              <w:tab/>
            </w:r>
            <w:r>
              <w:rPr>
                <w:noProof/>
              </w:rPr>
              <w:fldChar w:fldCharType="begin"/>
            </w:r>
            <w:r>
              <w:rPr>
                <w:noProof/>
              </w:rPr>
              <w:instrText xml:space="preserve"> PAGEREF _Toc223417800 \h </w:instrText>
            </w:r>
            <w:r>
              <w:rPr>
                <w:noProof/>
              </w:rPr>
            </w:r>
            <w:r>
              <w:rPr>
                <w:noProof/>
              </w:rPr>
              <w:fldChar w:fldCharType="separate"/>
            </w:r>
            <w:r w:rsidR="00644FCE">
              <w:rPr>
                <w:noProof/>
              </w:rPr>
              <w:t>14</w:t>
            </w:r>
            <w:r>
              <w:rPr>
                <w:noProof/>
              </w:rPr>
              <w:fldChar w:fldCharType="end"/>
            </w:r>
          </w:hyperlink>
        </w:p>
        <w:p w14:paraId="6AA69DDF" w14:textId="02070BE5" w:rsidR="00472E47" w:rsidRDefault="00472E47">
          <w:pPr>
            <w:pStyle w:val="TOC2"/>
            <w:tabs>
              <w:tab w:val="right" w:leader="dot" w:pos="9350"/>
            </w:tabs>
            <w:rPr>
              <w:noProof/>
            </w:rPr>
          </w:pPr>
          <w:hyperlink w:anchor="_Toc223417801" w:history="1">
            <w:r w:rsidRPr="00587295">
              <w:rPr>
                <w:rStyle w:val="Hyperlink"/>
                <w:noProof/>
              </w:rPr>
              <w:t>8. The Triple Subscriber Pattern</w:t>
            </w:r>
            <w:r>
              <w:rPr>
                <w:noProof/>
              </w:rPr>
              <w:tab/>
            </w:r>
            <w:r>
              <w:rPr>
                <w:noProof/>
              </w:rPr>
              <w:fldChar w:fldCharType="begin"/>
            </w:r>
            <w:r>
              <w:rPr>
                <w:noProof/>
              </w:rPr>
              <w:instrText xml:space="preserve"> PAGEREF _Toc223417801 \h </w:instrText>
            </w:r>
            <w:r>
              <w:rPr>
                <w:noProof/>
              </w:rPr>
            </w:r>
            <w:r>
              <w:rPr>
                <w:noProof/>
              </w:rPr>
              <w:fldChar w:fldCharType="separate"/>
            </w:r>
            <w:r w:rsidR="00644FCE">
              <w:rPr>
                <w:noProof/>
              </w:rPr>
              <w:t>15</w:t>
            </w:r>
            <w:r>
              <w:rPr>
                <w:noProof/>
              </w:rPr>
              <w:fldChar w:fldCharType="end"/>
            </w:r>
          </w:hyperlink>
        </w:p>
        <w:p w14:paraId="150361B6" w14:textId="773CD47D" w:rsidR="00472E47" w:rsidRDefault="00472E47">
          <w:pPr>
            <w:pStyle w:val="TOC2"/>
            <w:tabs>
              <w:tab w:val="right" w:leader="dot" w:pos="9350"/>
            </w:tabs>
            <w:rPr>
              <w:noProof/>
            </w:rPr>
          </w:pPr>
          <w:hyperlink w:anchor="_Toc223417802" w:history="1">
            <w:r w:rsidRPr="00587295">
              <w:rPr>
                <w:rStyle w:val="Hyperlink"/>
                <w:noProof/>
              </w:rPr>
              <w:t>9. Staged Immutability and the Trust Hierarchy</w:t>
            </w:r>
            <w:r>
              <w:rPr>
                <w:noProof/>
              </w:rPr>
              <w:tab/>
            </w:r>
            <w:r>
              <w:rPr>
                <w:noProof/>
              </w:rPr>
              <w:fldChar w:fldCharType="begin"/>
            </w:r>
            <w:r>
              <w:rPr>
                <w:noProof/>
              </w:rPr>
              <w:instrText xml:space="preserve"> PAGEREF _Toc223417802 \h </w:instrText>
            </w:r>
            <w:r>
              <w:rPr>
                <w:noProof/>
              </w:rPr>
            </w:r>
            <w:r>
              <w:rPr>
                <w:noProof/>
              </w:rPr>
              <w:fldChar w:fldCharType="separate"/>
            </w:r>
            <w:r w:rsidR="00644FCE">
              <w:rPr>
                <w:noProof/>
              </w:rPr>
              <w:t>16</w:t>
            </w:r>
            <w:r>
              <w:rPr>
                <w:noProof/>
              </w:rPr>
              <w:fldChar w:fldCharType="end"/>
            </w:r>
          </w:hyperlink>
        </w:p>
        <w:p w14:paraId="3DC83399" w14:textId="5D1B8E25" w:rsidR="00472E47" w:rsidRDefault="00472E47">
          <w:pPr>
            <w:pStyle w:val="TOC2"/>
            <w:tabs>
              <w:tab w:val="right" w:leader="dot" w:pos="9350"/>
            </w:tabs>
            <w:rPr>
              <w:noProof/>
            </w:rPr>
          </w:pPr>
          <w:hyperlink w:anchor="_Toc223417803" w:history="1">
            <w:r w:rsidRPr="00587295">
              <w:rPr>
                <w:rStyle w:val="Hyperlink"/>
                <w:noProof/>
              </w:rPr>
              <w:t>10. The elJeffe Protocol</w:t>
            </w:r>
            <w:r>
              <w:rPr>
                <w:noProof/>
              </w:rPr>
              <w:tab/>
            </w:r>
            <w:r>
              <w:rPr>
                <w:noProof/>
              </w:rPr>
              <w:fldChar w:fldCharType="begin"/>
            </w:r>
            <w:r>
              <w:rPr>
                <w:noProof/>
              </w:rPr>
              <w:instrText xml:space="preserve"> PAGEREF _Toc223417803 \h </w:instrText>
            </w:r>
            <w:r>
              <w:rPr>
                <w:noProof/>
              </w:rPr>
            </w:r>
            <w:r>
              <w:rPr>
                <w:noProof/>
              </w:rPr>
              <w:fldChar w:fldCharType="separate"/>
            </w:r>
            <w:r w:rsidR="00644FCE">
              <w:rPr>
                <w:noProof/>
              </w:rPr>
              <w:t>17</w:t>
            </w:r>
            <w:r>
              <w:rPr>
                <w:noProof/>
              </w:rPr>
              <w:fldChar w:fldCharType="end"/>
            </w:r>
          </w:hyperlink>
        </w:p>
        <w:p w14:paraId="44703C10" w14:textId="12AF6EA3" w:rsidR="00472E47" w:rsidRDefault="00472E47">
          <w:pPr>
            <w:pStyle w:val="TOC2"/>
            <w:tabs>
              <w:tab w:val="right" w:leader="dot" w:pos="9350"/>
            </w:tabs>
            <w:rPr>
              <w:noProof/>
            </w:rPr>
          </w:pPr>
          <w:hyperlink w:anchor="_Toc223417804" w:history="1">
            <w:r w:rsidRPr="00587295">
              <w:rPr>
                <w:rStyle w:val="Hyperlink"/>
                <w:noProof/>
              </w:rPr>
              <w:t>11. Transaction Data Flow</w:t>
            </w:r>
            <w:r>
              <w:rPr>
                <w:noProof/>
              </w:rPr>
              <w:tab/>
            </w:r>
            <w:r>
              <w:rPr>
                <w:noProof/>
              </w:rPr>
              <w:fldChar w:fldCharType="begin"/>
            </w:r>
            <w:r>
              <w:rPr>
                <w:noProof/>
              </w:rPr>
              <w:instrText xml:space="preserve"> PAGEREF _Toc223417804 \h </w:instrText>
            </w:r>
            <w:r>
              <w:rPr>
                <w:noProof/>
              </w:rPr>
            </w:r>
            <w:r>
              <w:rPr>
                <w:noProof/>
              </w:rPr>
              <w:fldChar w:fldCharType="separate"/>
            </w:r>
            <w:r w:rsidR="00644FCE">
              <w:rPr>
                <w:noProof/>
              </w:rPr>
              <w:t>18</w:t>
            </w:r>
            <w:r>
              <w:rPr>
                <w:noProof/>
              </w:rPr>
              <w:fldChar w:fldCharType="end"/>
            </w:r>
          </w:hyperlink>
        </w:p>
        <w:p w14:paraId="20BD1698" w14:textId="3F9EB036" w:rsidR="00472E47" w:rsidRDefault="00472E47">
          <w:pPr>
            <w:pStyle w:val="TOC2"/>
            <w:tabs>
              <w:tab w:val="right" w:leader="dot" w:pos="9350"/>
            </w:tabs>
            <w:rPr>
              <w:noProof/>
            </w:rPr>
          </w:pPr>
          <w:hyperlink w:anchor="_Toc223417805" w:history="1">
            <w:r w:rsidRPr="00587295">
              <w:rPr>
                <w:rStyle w:val="Hyperlink"/>
                <w:noProof/>
              </w:rPr>
              <w:t>12. Rebuild and Recovery</w:t>
            </w:r>
            <w:r>
              <w:rPr>
                <w:noProof/>
              </w:rPr>
              <w:tab/>
            </w:r>
            <w:r>
              <w:rPr>
                <w:noProof/>
              </w:rPr>
              <w:fldChar w:fldCharType="begin"/>
            </w:r>
            <w:r>
              <w:rPr>
                <w:noProof/>
              </w:rPr>
              <w:instrText xml:space="preserve"> PAGEREF _Toc223417805 \h </w:instrText>
            </w:r>
            <w:r>
              <w:rPr>
                <w:noProof/>
              </w:rPr>
            </w:r>
            <w:r>
              <w:rPr>
                <w:noProof/>
              </w:rPr>
              <w:fldChar w:fldCharType="separate"/>
            </w:r>
            <w:r w:rsidR="00644FCE">
              <w:rPr>
                <w:noProof/>
              </w:rPr>
              <w:t>18</w:t>
            </w:r>
            <w:r>
              <w:rPr>
                <w:noProof/>
              </w:rPr>
              <w:fldChar w:fldCharType="end"/>
            </w:r>
          </w:hyperlink>
        </w:p>
        <w:p w14:paraId="11188476" w14:textId="76DA7043" w:rsidR="00472E47" w:rsidRDefault="00472E47">
          <w:pPr>
            <w:pStyle w:val="TOC1"/>
            <w:tabs>
              <w:tab w:val="right" w:leader="dot" w:pos="9350"/>
            </w:tabs>
            <w:rPr>
              <w:noProof/>
            </w:rPr>
          </w:pPr>
          <w:hyperlink w:anchor="_Toc223417806" w:history="1">
            <w:r w:rsidRPr="00587295">
              <w:rPr>
                <w:rStyle w:val="Hyperlink"/>
                <w:noProof/>
              </w:rPr>
              <w:t>Part C: Case Study — Canary LP</w:t>
            </w:r>
            <w:r>
              <w:rPr>
                <w:noProof/>
              </w:rPr>
              <w:tab/>
            </w:r>
            <w:r>
              <w:rPr>
                <w:noProof/>
              </w:rPr>
              <w:fldChar w:fldCharType="begin"/>
            </w:r>
            <w:r>
              <w:rPr>
                <w:noProof/>
              </w:rPr>
              <w:instrText xml:space="preserve"> PAGEREF _Toc223417806 \h </w:instrText>
            </w:r>
            <w:r>
              <w:rPr>
                <w:noProof/>
              </w:rPr>
            </w:r>
            <w:r>
              <w:rPr>
                <w:noProof/>
              </w:rPr>
              <w:fldChar w:fldCharType="separate"/>
            </w:r>
            <w:r w:rsidR="00644FCE">
              <w:rPr>
                <w:noProof/>
              </w:rPr>
              <w:t>20</w:t>
            </w:r>
            <w:r>
              <w:rPr>
                <w:noProof/>
              </w:rPr>
              <w:fldChar w:fldCharType="end"/>
            </w:r>
          </w:hyperlink>
        </w:p>
        <w:p w14:paraId="749E6207" w14:textId="033143A1" w:rsidR="00472E47" w:rsidRDefault="00472E47">
          <w:pPr>
            <w:pStyle w:val="TOC2"/>
            <w:tabs>
              <w:tab w:val="right" w:leader="dot" w:pos="9350"/>
            </w:tabs>
            <w:rPr>
              <w:noProof/>
            </w:rPr>
          </w:pPr>
          <w:hyperlink w:anchor="_Toc223417807" w:history="1">
            <w:r w:rsidRPr="00587295">
              <w:rPr>
                <w:rStyle w:val="Hyperlink"/>
                <w:noProof/>
              </w:rPr>
              <w:t>13. Implementation Context</w:t>
            </w:r>
            <w:r>
              <w:rPr>
                <w:noProof/>
              </w:rPr>
              <w:tab/>
            </w:r>
            <w:r>
              <w:rPr>
                <w:noProof/>
              </w:rPr>
              <w:fldChar w:fldCharType="begin"/>
            </w:r>
            <w:r>
              <w:rPr>
                <w:noProof/>
              </w:rPr>
              <w:instrText xml:space="preserve"> PAGEREF _Toc223417807 \h </w:instrText>
            </w:r>
            <w:r>
              <w:rPr>
                <w:noProof/>
              </w:rPr>
            </w:r>
            <w:r>
              <w:rPr>
                <w:noProof/>
              </w:rPr>
              <w:fldChar w:fldCharType="separate"/>
            </w:r>
            <w:r w:rsidR="00644FCE">
              <w:rPr>
                <w:noProof/>
              </w:rPr>
              <w:t>20</w:t>
            </w:r>
            <w:r>
              <w:rPr>
                <w:noProof/>
              </w:rPr>
              <w:fldChar w:fldCharType="end"/>
            </w:r>
          </w:hyperlink>
        </w:p>
        <w:p w14:paraId="7B23AB76" w14:textId="49DE505D" w:rsidR="00472E47" w:rsidRDefault="00472E47">
          <w:pPr>
            <w:pStyle w:val="TOC2"/>
            <w:tabs>
              <w:tab w:val="right" w:leader="dot" w:pos="9350"/>
            </w:tabs>
            <w:rPr>
              <w:noProof/>
            </w:rPr>
          </w:pPr>
          <w:hyperlink w:anchor="_Toc223417808" w:history="1">
            <w:r w:rsidRPr="00587295">
              <w:rPr>
                <w:rStyle w:val="Hyperlink"/>
                <w:noProof/>
              </w:rPr>
              <w:t>14. The Canary Retail Data Model (CRDM)</w:t>
            </w:r>
            <w:r>
              <w:rPr>
                <w:noProof/>
              </w:rPr>
              <w:tab/>
            </w:r>
            <w:r>
              <w:rPr>
                <w:noProof/>
              </w:rPr>
              <w:fldChar w:fldCharType="begin"/>
            </w:r>
            <w:r>
              <w:rPr>
                <w:noProof/>
              </w:rPr>
              <w:instrText xml:space="preserve"> PAGEREF _Toc223417808 \h </w:instrText>
            </w:r>
            <w:r>
              <w:rPr>
                <w:noProof/>
              </w:rPr>
            </w:r>
            <w:r>
              <w:rPr>
                <w:noProof/>
              </w:rPr>
              <w:fldChar w:fldCharType="separate"/>
            </w:r>
            <w:r w:rsidR="00644FCE">
              <w:rPr>
                <w:noProof/>
              </w:rPr>
              <w:t>20</w:t>
            </w:r>
            <w:r>
              <w:rPr>
                <w:noProof/>
              </w:rPr>
              <w:fldChar w:fldCharType="end"/>
            </w:r>
          </w:hyperlink>
        </w:p>
        <w:p w14:paraId="2275D6EA" w14:textId="402A0B96" w:rsidR="00472E47" w:rsidRDefault="00472E47">
          <w:pPr>
            <w:pStyle w:val="TOC2"/>
            <w:tabs>
              <w:tab w:val="right" w:leader="dot" w:pos="9350"/>
            </w:tabs>
            <w:rPr>
              <w:noProof/>
            </w:rPr>
          </w:pPr>
          <w:hyperlink w:anchor="_Toc223417809" w:history="1">
            <w:r w:rsidRPr="00587295">
              <w:rPr>
                <w:rStyle w:val="Hyperlink"/>
                <w:noProof/>
              </w:rPr>
              <w:t>15. Technology Stack</w:t>
            </w:r>
            <w:r>
              <w:rPr>
                <w:noProof/>
              </w:rPr>
              <w:tab/>
            </w:r>
            <w:r>
              <w:rPr>
                <w:noProof/>
              </w:rPr>
              <w:fldChar w:fldCharType="begin"/>
            </w:r>
            <w:r>
              <w:rPr>
                <w:noProof/>
              </w:rPr>
              <w:instrText xml:space="preserve"> PAGEREF _Toc223417809 \h </w:instrText>
            </w:r>
            <w:r>
              <w:rPr>
                <w:noProof/>
              </w:rPr>
            </w:r>
            <w:r>
              <w:rPr>
                <w:noProof/>
              </w:rPr>
              <w:fldChar w:fldCharType="separate"/>
            </w:r>
            <w:r w:rsidR="00644FCE">
              <w:rPr>
                <w:noProof/>
              </w:rPr>
              <w:t>21</w:t>
            </w:r>
            <w:r>
              <w:rPr>
                <w:noProof/>
              </w:rPr>
              <w:fldChar w:fldCharType="end"/>
            </w:r>
          </w:hyperlink>
        </w:p>
        <w:p w14:paraId="1DC28B07" w14:textId="57AADCFA" w:rsidR="00472E47" w:rsidRDefault="00472E47">
          <w:pPr>
            <w:pStyle w:val="TOC2"/>
            <w:tabs>
              <w:tab w:val="right" w:leader="dot" w:pos="9350"/>
            </w:tabs>
            <w:rPr>
              <w:noProof/>
            </w:rPr>
          </w:pPr>
          <w:hyperlink w:anchor="_Toc223417810" w:history="1">
            <w:r w:rsidRPr="00587295">
              <w:rPr>
                <w:rStyle w:val="Hyperlink"/>
                <w:noProof/>
              </w:rPr>
              <w:t>16. Local-First Development Philosophy</w:t>
            </w:r>
            <w:r>
              <w:rPr>
                <w:noProof/>
              </w:rPr>
              <w:tab/>
            </w:r>
            <w:r>
              <w:rPr>
                <w:noProof/>
              </w:rPr>
              <w:fldChar w:fldCharType="begin"/>
            </w:r>
            <w:r>
              <w:rPr>
                <w:noProof/>
              </w:rPr>
              <w:instrText xml:space="preserve"> PAGEREF _Toc223417810 \h </w:instrText>
            </w:r>
            <w:r>
              <w:rPr>
                <w:noProof/>
              </w:rPr>
            </w:r>
            <w:r>
              <w:rPr>
                <w:noProof/>
              </w:rPr>
              <w:fldChar w:fldCharType="separate"/>
            </w:r>
            <w:r w:rsidR="00644FCE">
              <w:rPr>
                <w:noProof/>
              </w:rPr>
              <w:t>21</w:t>
            </w:r>
            <w:r>
              <w:rPr>
                <w:noProof/>
              </w:rPr>
              <w:fldChar w:fldCharType="end"/>
            </w:r>
          </w:hyperlink>
        </w:p>
        <w:p w14:paraId="4B5C51FA" w14:textId="1532CACA" w:rsidR="00472E47" w:rsidRDefault="00472E47">
          <w:pPr>
            <w:pStyle w:val="TOC2"/>
            <w:tabs>
              <w:tab w:val="right" w:leader="dot" w:pos="9350"/>
            </w:tabs>
            <w:rPr>
              <w:noProof/>
            </w:rPr>
          </w:pPr>
          <w:hyperlink w:anchor="_Toc223417811" w:history="1">
            <w:r w:rsidRPr="00587295">
              <w:rPr>
                <w:rStyle w:val="Hyperlink"/>
                <w:noProof/>
              </w:rPr>
              <w:t>17. Patent Claims and Embodiments</w:t>
            </w:r>
            <w:r>
              <w:rPr>
                <w:noProof/>
              </w:rPr>
              <w:tab/>
            </w:r>
            <w:r>
              <w:rPr>
                <w:noProof/>
              </w:rPr>
              <w:fldChar w:fldCharType="begin"/>
            </w:r>
            <w:r>
              <w:rPr>
                <w:noProof/>
              </w:rPr>
              <w:instrText xml:space="preserve"> PAGEREF _Toc223417811 \h </w:instrText>
            </w:r>
            <w:r>
              <w:rPr>
                <w:noProof/>
              </w:rPr>
            </w:r>
            <w:r>
              <w:rPr>
                <w:noProof/>
              </w:rPr>
              <w:fldChar w:fldCharType="separate"/>
            </w:r>
            <w:r w:rsidR="00644FCE">
              <w:rPr>
                <w:noProof/>
              </w:rPr>
              <w:t>22</w:t>
            </w:r>
            <w:r>
              <w:rPr>
                <w:noProof/>
              </w:rPr>
              <w:fldChar w:fldCharType="end"/>
            </w:r>
          </w:hyperlink>
        </w:p>
        <w:p w14:paraId="2FC1B3C5" w14:textId="35B62EEC" w:rsidR="00472E47" w:rsidRDefault="00472E47">
          <w:pPr>
            <w:pStyle w:val="TOC1"/>
            <w:tabs>
              <w:tab w:val="right" w:leader="dot" w:pos="9350"/>
            </w:tabs>
            <w:rPr>
              <w:noProof/>
            </w:rPr>
          </w:pPr>
          <w:hyperlink w:anchor="_Toc223417812" w:history="1">
            <w:r w:rsidRPr="00587295">
              <w:rPr>
                <w:rStyle w:val="Hyperlink"/>
                <w:noProof/>
              </w:rPr>
              <w:t>Part D: Agentic Development Methodology</w:t>
            </w:r>
            <w:r>
              <w:rPr>
                <w:noProof/>
              </w:rPr>
              <w:tab/>
            </w:r>
            <w:r>
              <w:rPr>
                <w:noProof/>
              </w:rPr>
              <w:fldChar w:fldCharType="begin"/>
            </w:r>
            <w:r>
              <w:rPr>
                <w:noProof/>
              </w:rPr>
              <w:instrText xml:space="preserve"> PAGEREF _Toc223417812 \h </w:instrText>
            </w:r>
            <w:r>
              <w:rPr>
                <w:noProof/>
              </w:rPr>
            </w:r>
            <w:r>
              <w:rPr>
                <w:noProof/>
              </w:rPr>
              <w:fldChar w:fldCharType="separate"/>
            </w:r>
            <w:r w:rsidR="00644FCE">
              <w:rPr>
                <w:noProof/>
              </w:rPr>
              <w:t>23</w:t>
            </w:r>
            <w:r>
              <w:rPr>
                <w:noProof/>
              </w:rPr>
              <w:fldChar w:fldCharType="end"/>
            </w:r>
          </w:hyperlink>
        </w:p>
        <w:p w14:paraId="351A5F23" w14:textId="1EB795C5" w:rsidR="00472E47" w:rsidRDefault="00472E47">
          <w:pPr>
            <w:pStyle w:val="TOC2"/>
            <w:tabs>
              <w:tab w:val="right" w:leader="dot" w:pos="9350"/>
            </w:tabs>
            <w:rPr>
              <w:noProof/>
            </w:rPr>
          </w:pPr>
          <w:hyperlink w:anchor="_Toc223417813" w:history="1">
            <w:r w:rsidRPr="00587295">
              <w:rPr>
                <w:rStyle w:val="Hyperlink"/>
                <w:noProof/>
              </w:rPr>
              <w:t>18. Specification-Driven Agentic Development</w:t>
            </w:r>
            <w:r>
              <w:rPr>
                <w:noProof/>
              </w:rPr>
              <w:tab/>
            </w:r>
            <w:r>
              <w:rPr>
                <w:noProof/>
              </w:rPr>
              <w:fldChar w:fldCharType="begin"/>
            </w:r>
            <w:r>
              <w:rPr>
                <w:noProof/>
              </w:rPr>
              <w:instrText xml:space="preserve"> PAGEREF _Toc223417813 \h </w:instrText>
            </w:r>
            <w:r>
              <w:rPr>
                <w:noProof/>
              </w:rPr>
            </w:r>
            <w:r>
              <w:rPr>
                <w:noProof/>
              </w:rPr>
              <w:fldChar w:fldCharType="separate"/>
            </w:r>
            <w:r w:rsidR="00644FCE">
              <w:rPr>
                <w:noProof/>
              </w:rPr>
              <w:t>23</w:t>
            </w:r>
            <w:r>
              <w:rPr>
                <w:noProof/>
              </w:rPr>
              <w:fldChar w:fldCharType="end"/>
            </w:r>
          </w:hyperlink>
        </w:p>
        <w:p w14:paraId="4FC0A1FF" w14:textId="13A93F83" w:rsidR="00472E47" w:rsidRDefault="00472E47">
          <w:pPr>
            <w:pStyle w:val="TOC2"/>
            <w:tabs>
              <w:tab w:val="right" w:leader="dot" w:pos="9350"/>
            </w:tabs>
            <w:rPr>
              <w:noProof/>
            </w:rPr>
          </w:pPr>
          <w:hyperlink w:anchor="_Toc223417814" w:history="1">
            <w:r w:rsidRPr="00587295">
              <w:rPr>
                <w:rStyle w:val="Hyperlink"/>
                <w:noProof/>
              </w:rPr>
              <w:t>19. Agent Roster and Governance</w:t>
            </w:r>
            <w:r>
              <w:rPr>
                <w:noProof/>
              </w:rPr>
              <w:tab/>
            </w:r>
            <w:r>
              <w:rPr>
                <w:noProof/>
              </w:rPr>
              <w:fldChar w:fldCharType="begin"/>
            </w:r>
            <w:r>
              <w:rPr>
                <w:noProof/>
              </w:rPr>
              <w:instrText xml:space="preserve"> PAGEREF _Toc223417814 \h </w:instrText>
            </w:r>
            <w:r>
              <w:rPr>
                <w:noProof/>
              </w:rPr>
            </w:r>
            <w:r>
              <w:rPr>
                <w:noProof/>
              </w:rPr>
              <w:fldChar w:fldCharType="separate"/>
            </w:r>
            <w:r w:rsidR="00644FCE">
              <w:rPr>
                <w:noProof/>
              </w:rPr>
              <w:t>23</w:t>
            </w:r>
            <w:r>
              <w:rPr>
                <w:noProof/>
              </w:rPr>
              <w:fldChar w:fldCharType="end"/>
            </w:r>
          </w:hyperlink>
        </w:p>
        <w:p w14:paraId="2C139D23" w14:textId="26A3B7EB" w:rsidR="00472E47" w:rsidRDefault="00472E47">
          <w:pPr>
            <w:pStyle w:val="TOC2"/>
            <w:tabs>
              <w:tab w:val="right" w:leader="dot" w:pos="9350"/>
            </w:tabs>
            <w:rPr>
              <w:noProof/>
            </w:rPr>
          </w:pPr>
          <w:hyperlink w:anchor="_Toc223417815" w:history="1">
            <w:r w:rsidRPr="00587295">
              <w:rPr>
                <w:rStyle w:val="Hyperlink"/>
                <w:noProof/>
              </w:rPr>
              <w:t>20. Process Appendix</w:t>
            </w:r>
            <w:r>
              <w:rPr>
                <w:noProof/>
              </w:rPr>
              <w:tab/>
            </w:r>
            <w:r>
              <w:rPr>
                <w:noProof/>
              </w:rPr>
              <w:fldChar w:fldCharType="begin"/>
            </w:r>
            <w:r>
              <w:rPr>
                <w:noProof/>
              </w:rPr>
              <w:instrText xml:space="preserve"> PAGEREF _Toc223417815 \h </w:instrText>
            </w:r>
            <w:r>
              <w:rPr>
                <w:noProof/>
              </w:rPr>
            </w:r>
            <w:r>
              <w:rPr>
                <w:noProof/>
              </w:rPr>
              <w:fldChar w:fldCharType="separate"/>
            </w:r>
            <w:r w:rsidR="00644FCE">
              <w:rPr>
                <w:noProof/>
              </w:rPr>
              <w:t>24</w:t>
            </w:r>
            <w:r>
              <w:rPr>
                <w:noProof/>
              </w:rPr>
              <w:fldChar w:fldCharType="end"/>
            </w:r>
          </w:hyperlink>
        </w:p>
        <w:p w14:paraId="078017F8" w14:textId="5A0798B0" w:rsidR="00472E47" w:rsidRDefault="00472E47">
          <w:pPr>
            <w:pStyle w:val="TOC1"/>
            <w:tabs>
              <w:tab w:val="right" w:leader="dot" w:pos="9350"/>
            </w:tabs>
            <w:rPr>
              <w:noProof/>
            </w:rPr>
          </w:pPr>
          <w:hyperlink w:anchor="_Toc223417816" w:history="1">
            <w:r w:rsidRPr="00587295">
              <w:rPr>
                <w:rStyle w:val="Hyperlink"/>
                <w:noProof/>
              </w:rPr>
              <w:t>Epilogue: The Digital Fingerprint</w:t>
            </w:r>
            <w:r>
              <w:rPr>
                <w:noProof/>
              </w:rPr>
              <w:tab/>
            </w:r>
            <w:r>
              <w:rPr>
                <w:noProof/>
              </w:rPr>
              <w:fldChar w:fldCharType="begin"/>
            </w:r>
            <w:r>
              <w:rPr>
                <w:noProof/>
              </w:rPr>
              <w:instrText xml:space="preserve"> PAGEREF _Toc223417816 \h </w:instrText>
            </w:r>
            <w:r>
              <w:rPr>
                <w:noProof/>
              </w:rPr>
            </w:r>
            <w:r>
              <w:rPr>
                <w:noProof/>
              </w:rPr>
              <w:fldChar w:fldCharType="separate"/>
            </w:r>
            <w:r w:rsidR="00644FCE">
              <w:rPr>
                <w:noProof/>
              </w:rPr>
              <w:t>25</w:t>
            </w:r>
            <w:r>
              <w:rPr>
                <w:noProof/>
              </w:rPr>
              <w:fldChar w:fldCharType="end"/>
            </w:r>
          </w:hyperlink>
        </w:p>
        <w:p w14:paraId="582426CF" w14:textId="7EA42A3D" w:rsidR="00472E47" w:rsidRDefault="00472E47">
          <w:pPr>
            <w:pStyle w:val="TOC2"/>
            <w:tabs>
              <w:tab w:val="right" w:leader="dot" w:pos="9350"/>
            </w:tabs>
            <w:rPr>
              <w:noProof/>
            </w:rPr>
          </w:pPr>
          <w:hyperlink w:anchor="_Toc223417817" w:history="1">
            <w:r w:rsidRPr="00587295">
              <w:rPr>
                <w:rStyle w:val="Hyperlink"/>
                <w:noProof/>
              </w:rPr>
              <w:t>Beyond Retail: The Universal Event</w:t>
            </w:r>
            <w:r>
              <w:rPr>
                <w:noProof/>
              </w:rPr>
              <w:tab/>
            </w:r>
            <w:r>
              <w:rPr>
                <w:noProof/>
              </w:rPr>
              <w:fldChar w:fldCharType="begin"/>
            </w:r>
            <w:r>
              <w:rPr>
                <w:noProof/>
              </w:rPr>
              <w:instrText xml:space="preserve"> PAGEREF _Toc223417817 \h </w:instrText>
            </w:r>
            <w:r>
              <w:rPr>
                <w:noProof/>
              </w:rPr>
            </w:r>
            <w:r>
              <w:rPr>
                <w:noProof/>
              </w:rPr>
              <w:fldChar w:fldCharType="separate"/>
            </w:r>
            <w:r w:rsidR="00644FCE">
              <w:rPr>
                <w:noProof/>
              </w:rPr>
              <w:t>25</w:t>
            </w:r>
            <w:r>
              <w:rPr>
                <w:noProof/>
              </w:rPr>
              <w:fldChar w:fldCharType="end"/>
            </w:r>
          </w:hyperlink>
        </w:p>
        <w:p w14:paraId="7DF1C95C" w14:textId="2FF5371B" w:rsidR="00472E47" w:rsidRDefault="00472E47">
          <w:pPr>
            <w:pStyle w:val="TOC2"/>
            <w:tabs>
              <w:tab w:val="right" w:leader="dot" w:pos="9350"/>
            </w:tabs>
            <w:rPr>
              <w:noProof/>
            </w:rPr>
          </w:pPr>
          <w:hyperlink w:anchor="_Toc223417818" w:history="1">
            <w:r w:rsidRPr="00587295">
              <w:rPr>
                <w:rStyle w:val="Hyperlink"/>
                <w:noProof/>
              </w:rPr>
              <w:t>The Travelling Digital Fingerprint</w:t>
            </w:r>
            <w:r>
              <w:rPr>
                <w:noProof/>
              </w:rPr>
              <w:tab/>
            </w:r>
            <w:r>
              <w:rPr>
                <w:noProof/>
              </w:rPr>
              <w:fldChar w:fldCharType="begin"/>
            </w:r>
            <w:r>
              <w:rPr>
                <w:noProof/>
              </w:rPr>
              <w:instrText xml:space="preserve"> PAGEREF _Toc223417818 \h </w:instrText>
            </w:r>
            <w:r>
              <w:rPr>
                <w:noProof/>
              </w:rPr>
            </w:r>
            <w:r>
              <w:rPr>
                <w:noProof/>
              </w:rPr>
              <w:fldChar w:fldCharType="separate"/>
            </w:r>
            <w:r w:rsidR="00644FCE">
              <w:rPr>
                <w:noProof/>
              </w:rPr>
              <w:t>26</w:t>
            </w:r>
            <w:r>
              <w:rPr>
                <w:noProof/>
              </w:rPr>
              <w:fldChar w:fldCharType="end"/>
            </w:r>
          </w:hyperlink>
        </w:p>
        <w:p w14:paraId="3FC6B96B" w14:textId="2CA94F22" w:rsidR="00472E47" w:rsidRDefault="00472E47">
          <w:pPr>
            <w:pStyle w:val="TOC2"/>
            <w:tabs>
              <w:tab w:val="right" w:leader="dot" w:pos="9350"/>
            </w:tabs>
            <w:rPr>
              <w:noProof/>
            </w:rPr>
          </w:pPr>
          <w:hyperlink w:anchor="_Toc223417819" w:history="1">
            <w:r w:rsidRPr="00587295">
              <w:rPr>
                <w:rStyle w:val="Hyperlink"/>
                <w:noProof/>
              </w:rPr>
              <w:t>First, the Merchant</w:t>
            </w:r>
            <w:r>
              <w:rPr>
                <w:noProof/>
              </w:rPr>
              <w:tab/>
            </w:r>
            <w:r>
              <w:rPr>
                <w:noProof/>
              </w:rPr>
              <w:fldChar w:fldCharType="begin"/>
            </w:r>
            <w:r>
              <w:rPr>
                <w:noProof/>
              </w:rPr>
              <w:instrText xml:space="preserve"> PAGEREF _Toc223417819 \h </w:instrText>
            </w:r>
            <w:r>
              <w:rPr>
                <w:noProof/>
              </w:rPr>
            </w:r>
            <w:r>
              <w:rPr>
                <w:noProof/>
              </w:rPr>
              <w:fldChar w:fldCharType="separate"/>
            </w:r>
            <w:r w:rsidR="00644FCE">
              <w:rPr>
                <w:noProof/>
              </w:rPr>
              <w:t>27</w:t>
            </w:r>
            <w:r>
              <w:rPr>
                <w:noProof/>
              </w:rPr>
              <w:fldChar w:fldCharType="end"/>
            </w:r>
          </w:hyperlink>
        </w:p>
        <w:p w14:paraId="45C42665" w14:textId="199F334E" w:rsidR="00472E47" w:rsidRDefault="00472E47">
          <w:pPr>
            <w:pStyle w:val="TOC1"/>
            <w:tabs>
              <w:tab w:val="right" w:leader="dot" w:pos="9350"/>
            </w:tabs>
            <w:rPr>
              <w:noProof/>
            </w:rPr>
          </w:pPr>
          <w:hyperlink w:anchor="_Toc223417820" w:history="1">
            <w:r w:rsidRPr="00587295">
              <w:rPr>
                <w:rStyle w:val="Hyperlink"/>
                <w:noProof/>
              </w:rPr>
              <w:t>Bibliography</w:t>
            </w:r>
            <w:r>
              <w:rPr>
                <w:noProof/>
              </w:rPr>
              <w:tab/>
            </w:r>
            <w:r>
              <w:rPr>
                <w:noProof/>
              </w:rPr>
              <w:fldChar w:fldCharType="begin"/>
            </w:r>
            <w:r>
              <w:rPr>
                <w:noProof/>
              </w:rPr>
              <w:instrText xml:space="preserve"> PAGEREF _Toc223417820 \h </w:instrText>
            </w:r>
            <w:r>
              <w:rPr>
                <w:noProof/>
              </w:rPr>
            </w:r>
            <w:r>
              <w:rPr>
                <w:noProof/>
              </w:rPr>
              <w:fldChar w:fldCharType="separate"/>
            </w:r>
            <w:r w:rsidR="00644FCE">
              <w:rPr>
                <w:noProof/>
              </w:rPr>
              <w:t>28</w:t>
            </w:r>
            <w:r>
              <w:rPr>
                <w:noProof/>
              </w:rPr>
              <w:fldChar w:fldCharType="end"/>
            </w:r>
          </w:hyperlink>
        </w:p>
        <w:p w14:paraId="1101D972" w14:textId="48E696A0" w:rsidR="00472E47" w:rsidRDefault="00472E47">
          <w:pPr>
            <w:pStyle w:val="TOC1"/>
            <w:tabs>
              <w:tab w:val="right" w:leader="dot" w:pos="9350"/>
            </w:tabs>
            <w:rPr>
              <w:noProof/>
            </w:rPr>
          </w:pPr>
          <w:hyperlink w:anchor="_Toc223417821" w:history="1">
            <w:r w:rsidRPr="00587295">
              <w:rPr>
                <w:rStyle w:val="Hyperlink"/>
                <w:noProof/>
              </w:rPr>
              <w:t>Figure Legends</w:t>
            </w:r>
            <w:r>
              <w:rPr>
                <w:noProof/>
              </w:rPr>
              <w:tab/>
            </w:r>
            <w:r>
              <w:rPr>
                <w:noProof/>
              </w:rPr>
              <w:fldChar w:fldCharType="begin"/>
            </w:r>
            <w:r>
              <w:rPr>
                <w:noProof/>
              </w:rPr>
              <w:instrText xml:space="preserve"> PAGEREF _Toc223417821 \h </w:instrText>
            </w:r>
            <w:r>
              <w:rPr>
                <w:noProof/>
              </w:rPr>
            </w:r>
            <w:r>
              <w:rPr>
                <w:noProof/>
              </w:rPr>
              <w:fldChar w:fldCharType="separate"/>
            </w:r>
            <w:r w:rsidR="00644FCE">
              <w:rPr>
                <w:noProof/>
              </w:rPr>
              <w:t>29</w:t>
            </w:r>
            <w:r>
              <w:rPr>
                <w:noProof/>
              </w:rPr>
              <w:fldChar w:fldCharType="end"/>
            </w:r>
          </w:hyperlink>
        </w:p>
        <w:p w14:paraId="0EFF9B58" w14:textId="77777777" w:rsidR="00C54027" w:rsidRDefault="00424ADE">
          <w:r>
            <w:fldChar w:fldCharType="end"/>
          </w:r>
        </w:p>
      </w:sdtContent>
    </w:sdt>
    <w:p w14:paraId="7EF749E5" w14:textId="77777777" w:rsidR="00C54027" w:rsidRDefault="00424ADE">
      <w:r>
        <w:lastRenderedPageBreak/>
        <w:br w:type="page"/>
      </w:r>
    </w:p>
    <w:p w14:paraId="6FDAC89B" w14:textId="77777777" w:rsidR="00C54027" w:rsidRDefault="00C54027">
      <w:pPr>
        <w:sectPr w:rsidR="00C54027">
          <w:headerReference w:type="default" r:id="rId8"/>
          <w:footerReference w:type="default" r:id="rId9"/>
          <w:pgSz w:w="12240" w:h="15840"/>
          <w:pgMar w:top="1440" w:right="1440" w:bottom="1440" w:left="1440" w:header="708" w:footer="708" w:gutter="0"/>
          <w:cols w:space="720"/>
          <w:docGrid w:linePitch="360"/>
        </w:sectPr>
      </w:pPr>
    </w:p>
    <w:p w14:paraId="374ECA3C" w14:textId="77777777" w:rsidR="00C54027" w:rsidRDefault="00424ADE">
      <w:pPr>
        <w:pStyle w:val="Heading1"/>
      </w:pPr>
      <w:bookmarkStart w:id="2" w:name="_Toc223417792"/>
      <w:r>
        <w:lastRenderedPageBreak/>
        <w:t>Part A: The Sovereignty Thesis</w:t>
      </w:r>
      <w:bookmarkEnd w:id="2"/>
    </w:p>
    <w:p w14:paraId="64B1373C" w14:textId="77777777" w:rsidR="00C54027" w:rsidRDefault="00424ADE">
      <w:pPr>
        <w:pStyle w:val="Heading2"/>
      </w:pPr>
      <w:bookmarkStart w:id="3" w:name="_Toc223417793"/>
      <w:r>
        <w:t>1. The Problem of Digital Impermanence</w:t>
      </w:r>
      <w:bookmarkEnd w:id="3"/>
    </w:p>
    <w:p w14:paraId="7DA0F806" w14:textId="77777777" w:rsidR="00C54027" w:rsidRDefault="00424ADE">
      <w:pPr>
        <w:spacing w:after="200" w:line="360" w:lineRule="auto"/>
        <w:jc w:val="both"/>
      </w:pPr>
      <w:r>
        <w:rPr>
          <w:color w:val="2C2C2C"/>
        </w:rPr>
        <w:t xml:space="preserve">Every day, billions of commercial transactions occur across the global economy. Each transaction generates a digital record that exists, at best, in the proprietary database of a payment processor, point-of-sale vendor, or financial institution. These records are mutable, </w:t>
      </w:r>
      <w:proofErr w:type="spellStart"/>
      <w:r>
        <w:rPr>
          <w:color w:val="2C2C2C"/>
        </w:rPr>
        <w:t>deletable</w:t>
      </w:r>
      <w:proofErr w:type="spellEnd"/>
      <w:r>
        <w:rPr>
          <w:color w:val="2C2C2C"/>
        </w:rPr>
        <w:t>, subject to platform risk, and controlled entirely by entities whose incentives may diverge from those of the merchants and consumers who generated them.</w:t>
      </w:r>
    </w:p>
    <w:p w14:paraId="2357E85B" w14:textId="77777777" w:rsidR="00C54027" w:rsidRDefault="00424ADE">
      <w:pPr>
        <w:spacing w:after="200" w:line="360" w:lineRule="auto"/>
        <w:jc w:val="both"/>
      </w:pPr>
      <w:r>
        <w:rPr>
          <w:color w:val="2C2C2C"/>
        </w:rPr>
        <w:t>The consequence is a paradox: the most commercially significant events in the global economy leave no independently verifiable trace. A merchant cannot prove to a third party that a specific transaction occurred at a specific time without relying on the cooperation of the platform that processed it. A dispute over a refund, a fraudulent chargeback, or an insurance claim rests not on cryptographic proof but on the willingness of a database administrator to produce a record that may or may not still exist.</w:t>
      </w:r>
    </w:p>
    <w:p w14:paraId="7E79AD5E" w14:textId="77777777" w:rsidR="00C54027" w:rsidRDefault="00424ADE">
      <w:pPr>
        <w:spacing w:after="200" w:line="360" w:lineRule="auto"/>
        <w:jc w:val="both"/>
      </w:pPr>
      <w:r>
        <w:rPr>
          <w:color w:val="2C2C2C"/>
        </w:rPr>
        <w:t>This is not a theoretical concern. Small and medium businesses lose an estimated $100 billion annually to fraud, chargebacks, and disputes where the evidentiary burden falls on the party with the least access to definitive records. The merchant.</w:t>
      </w:r>
    </w:p>
    <w:p w14:paraId="1CFCE5D6" w14:textId="77777777" w:rsidR="00C54027" w:rsidRDefault="00424ADE">
      <w:pPr>
        <w:pStyle w:val="Heading2"/>
      </w:pPr>
      <w:bookmarkStart w:id="4" w:name="_Toc223417794"/>
      <w:r>
        <w:t>2. Sovereignty as a Design Principle</w:t>
      </w:r>
      <w:bookmarkEnd w:id="4"/>
    </w:p>
    <w:p w14:paraId="2D0A11CB" w14:textId="77777777" w:rsidR="00C54027" w:rsidRDefault="00424ADE">
      <w:pPr>
        <w:spacing w:after="200" w:line="360" w:lineRule="auto"/>
        <w:jc w:val="both"/>
      </w:pPr>
      <w:r>
        <w:rPr>
          <w:color w:val="2C2C2C"/>
        </w:rPr>
        <w:t>The concept of data sovereignty, as applied in this work, extends beyond the regulatory frameworks of data localization and jurisdictional control. We define digital sovereignty as the capacity of an entity to independently verify, control, and preserve its own commercial records without dependence on any third-party platform, institution, or infrastructure.</w:t>
      </w:r>
    </w:p>
    <w:p w14:paraId="7659646C" w14:textId="77777777" w:rsidR="00C54027" w:rsidRDefault="00424ADE">
      <w:pPr>
        <w:spacing w:after="200" w:line="360" w:lineRule="auto"/>
        <w:jc w:val="both"/>
      </w:pPr>
      <w:r>
        <w:rPr>
          <w:color w:val="2C2C2C"/>
        </w:rPr>
        <w:t>This definition draws on three intellectual traditions:</w:t>
      </w:r>
    </w:p>
    <w:p w14:paraId="5E6E6E9B" w14:textId="77777777" w:rsidR="00C54027" w:rsidRDefault="00424ADE">
      <w:pPr>
        <w:pStyle w:val="ListParagraph"/>
        <w:numPr>
          <w:ilvl w:val="0"/>
          <w:numId w:val="2"/>
        </w:numPr>
        <w:spacing w:after="120" w:line="360" w:lineRule="auto"/>
      </w:pPr>
      <w:r>
        <w:rPr>
          <w:color w:val="2C2C2C"/>
        </w:rPr>
        <w:t>Cryptographic self-sovereignty: the principle that identity and data ownership can be established through mathematical proof rather than institutional trust, as articulated in the Bitcoin protocol itself.</w:t>
      </w:r>
    </w:p>
    <w:p w14:paraId="4D961563" w14:textId="77777777" w:rsidR="00C54027" w:rsidRDefault="00424ADE">
      <w:pPr>
        <w:pStyle w:val="ListParagraph"/>
        <w:numPr>
          <w:ilvl w:val="0"/>
          <w:numId w:val="2"/>
        </w:numPr>
        <w:spacing w:after="120" w:line="360" w:lineRule="auto"/>
      </w:pPr>
      <w:r>
        <w:rPr>
          <w:color w:val="2C2C2C"/>
        </w:rPr>
        <w:lastRenderedPageBreak/>
        <w:t>Layered monetary theory: the insight from Bhatia (2021) and Alden (2023) that trust hierarchies in financial systems are structured in layers, with the most fundamental layer providing the settlement guarantee for all layers above it.</w:t>
      </w:r>
    </w:p>
    <w:p w14:paraId="11BF5215" w14:textId="77777777" w:rsidR="00C54027" w:rsidRDefault="00424ADE">
      <w:pPr>
        <w:pStyle w:val="ListParagraph"/>
        <w:numPr>
          <w:ilvl w:val="0"/>
          <w:numId w:val="2"/>
        </w:numPr>
        <w:spacing w:after="120" w:line="360" w:lineRule="auto"/>
      </w:pPr>
      <w:r>
        <w:rPr>
          <w:color w:val="2C2C2C"/>
        </w:rPr>
        <w:t>Power projection through proof-of-work: the argument advanced by Lowery (2023) that the thermodynamic cost of Bitcoin mining creates an unforgeable record of computational work, establishing a form of digital property right that is physically expensive to counterfeit.</w:t>
      </w:r>
    </w:p>
    <w:p w14:paraId="73BC9E4E" w14:textId="77777777" w:rsidR="00C54027" w:rsidRDefault="00424ADE">
      <w:pPr>
        <w:spacing w:after="200" w:line="360" w:lineRule="auto"/>
        <w:jc w:val="both"/>
      </w:pPr>
      <w:r>
        <w:rPr>
          <w:color w:val="2C2C2C"/>
        </w:rPr>
        <w:t>From these foundations, we derive a sovereignty thesis specific to commercial data: if a commercial event can be cryptographically sealed at the moment of occurrence, its hash anchored to a proof-of-work time chain, and its verification made independent of any originating platform, then the entity that generated the event achieves data sovereignty over that record.</w:t>
      </w:r>
    </w:p>
    <w:p w14:paraId="26121CC2" w14:textId="77777777" w:rsidR="00C54027" w:rsidRDefault="00424ADE">
      <w:pPr>
        <w:pStyle w:val="Heading2"/>
      </w:pPr>
      <w:bookmarkStart w:id="5" w:name="_Toc223417795"/>
      <w:r>
        <w:t>3. The Travelling Firewall</w:t>
      </w:r>
      <w:bookmarkEnd w:id="5"/>
    </w:p>
    <w:p w14:paraId="1FE61313" w14:textId="77777777" w:rsidR="00C54027" w:rsidRDefault="00424ADE">
      <w:pPr>
        <w:spacing w:after="200" w:line="360" w:lineRule="auto"/>
        <w:jc w:val="both"/>
      </w:pPr>
      <w:r>
        <w:rPr>
          <w:color w:val="2C2C2C"/>
        </w:rPr>
        <w:t xml:space="preserve">A critical implication of this sovereignty model is what we term the travelling firewall: a portable, cryptographic boundary that travels with the data rather than residing at a network perimeter. Traditional data protection models assume a fixed boundary, a corporate network, a cloud tenant, a jurisdictional border, inside which data is protected and outside which it is not. This model fails in a world where commercial data </w:t>
      </w:r>
      <w:proofErr w:type="gramStart"/>
      <w:r>
        <w:rPr>
          <w:color w:val="2C2C2C"/>
        </w:rPr>
        <w:t>traverses</w:t>
      </w:r>
      <w:proofErr w:type="gramEnd"/>
      <w:r>
        <w:rPr>
          <w:color w:val="2C2C2C"/>
        </w:rPr>
        <w:t xml:space="preserve"> multiple platforms, jurisdictions, and storage systems </w:t>
      </w:r>
      <w:proofErr w:type="gramStart"/>
      <w:r>
        <w:rPr>
          <w:color w:val="2C2C2C"/>
        </w:rPr>
        <w:t>in the course of</w:t>
      </w:r>
      <w:proofErr w:type="gramEnd"/>
      <w:r>
        <w:rPr>
          <w:color w:val="2C2C2C"/>
        </w:rPr>
        <w:t xml:space="preserve"> a single transaction lifecycle.</w:t>
      </w:r>
    </w:p>
    <w:p w14:paraId="58767626" w14:textId="77777777" w:rsidR="00C54027" w:rsidRDefault="00424ADE">
      <w:pPr>
        <w:spacing w:after="200" w:line="360" w:lineRule="auto"/>
        <w:jc w:val="both"/>
      </w:pPr>
      <w:r>
        <w:rPr>
          <w:color w:val="2C2C2C"/>
        </w:rPr>
        <w:t>The travelling firewall inverts this model. Each commercial event is sealed with a cryptographic envelope at the point of origin. The envelope contains the event hash, a timestamp, a pseudonymous namespace identifier, and a reference to its position in a Merkle tree. This envelope is the firewall. It travels with the data through any number of systems, and at any point, an independent party can verify the integrity and provenance of the enclosed event by reference to the Bitcoin time chain alone.</w:t>
      </w:r>
    </w:p>
    <w:p w14:paraId="539F7D20" w14:textId="77777777" w:rsidR="00C54027" w:rsidRDefault="00424ADE">
      <w:pPr>
        <w:spacing w:after="200" w:line="360" w:lineRule="auto"/>
        <w:jc w:val="both"/>
      </w:pPr>
      <w:r>
        <w:rPr>
          <w:color w:val="2C2C2C"/>
        </w:rPr>
        <w:t>The practical consequence is that a merchant's commercial records achieve a form of ambient sovereignty: they are verifiable regardless of where they are stored, who stores them, or whether the original platform continues to exist.</w:t>
      </w:r>
    </w:p>
    <w:p w14:paraId="28900EFE" w14:textId="77777777" w:rsidR="00C54027" w:rsidRDefault="00424ADE">
      <w:pPr>
        <w:pStyle w:val="Heading2"/>
      </w:pPr>
      <w:bookmarkStart w:id="6" w:name="_Toc223417796"/>
      <w:r>
        <w:lastRenderedPageBreak/>
        <w:t>4. Opt-In Identity and Pseudonymous Participation</w:t>
      </w:r>
      <w:bookmarkEnd w:id="6"/>
    </w:p>
    <w:p w14:paraId="399BDBFF" w14:textId="77777777" w:rsidR="00C54027" w:rsidRDefault="00424ADE">
      <w:pPr>
        <w:spacing w:after="200" w:line="360" w:lineRule="auto"/>
        <w:jc w:val="both"/>
      </w:pPr>
      <w:r>
        <w:rPr>
          <w:color w:val="2C2C2C"/>
        </w:rPr>
        <w:t>A distinguishing feature of this architecture is its approach to identity. The system does not require merchants to establish on-chain identity. Instead, it employs a two-layer identity model:</w:t>
      </w:r>
    </w:p>
    <w:p w14:paraId="2B53A88B" w14:textId="77777777" w:rsidR="00C54027" w:rsidRDefault="00424ADE">
      <w:pPr>
        <w:pStyle w:val="ListParagraph"/>
        <w:numPr>
          <w:ilvl w:val="0"/>
          <w:numId w:val="3"/>
        </w:numPr>
        <w:spacing w:after="120" w:line="360" w:lineRule="auto"/>
      </w:pPr>
      <w:r>
        <w:rPr>
          <w:color w:val="2C2C2C"/>
        </w:rPr>
        <w:t xml:space="preserve">Layer 1 (Bitcoin): All inscriptions reference a GUID-based namespace (e.g., </w:t>
      </w:r>
      <w:proofErr w:type="spellStart"/>
      <w:r>
        <w:rPr>
          <w:color w:val="2C2C2C"/>
        </w:rPr>
        <w:t>GUID.jeffe</w:t>
      </w:r>
      <w:proofErr w:type="spellEnd"/>
      <w:r>
        <w:rPr>
          <w:color w:val="2C2C2C"/>
        </w:rPr>
        <w:t>). No human-readable identity, no personal information, and no correlation to real-world entities exists on the base chain. The namespace is pseudonymous by construction.</w:t>
      </w:r>
    </w:p>
    <w:p w14:paraId="4375AD58" w14:textId="77777777" w:rsidR="00C54027" w:rsidRDefault="00424ADE">
      <w:pPr>
        <w:pStyle w:val="ListParagraph"/>
        <w:numPr>
          <w:ilvl w:val="0"/>
          <w:numId w:val="3"/>
        </w:numPr>
        <w:spacing w:after="120" w:line="360" w:lineRule="auto"/>
      </w:pPr>
      <w:r>
        <w:rPr>
          <w:color w:val="2C2C2C"/>
        </w:rPr>
        <w:t>Layer 2 (Application): Human-readable aliases, merchant profiles, and business metadata exist only at the application layer, controlled entirely by the merchant. A merchant may opt in to identity disclosure for specific purposes (e.g., public verification of a transaction) or remain entirely pseudonymous.</w:t>
      </w:r>
    </w:p>
    <w:p w14:paraId="1487E270" w14:textId="77777777" w:rsidR="00C54027" w:rsidRDefault="00424ADE">
      <w:pPr>
        <w:spacing w:after="200" w:line="360" w:lineRule="auto"/>
        <w:jc w:val="both"/>
      </w:pPr>
      <w:r>
        <w:rPr>
          <w:color w:val="2C2C2C"/>
        </w:rPr>
        <w:t xml:space="preserve">This two-layer model ensures that the system provides the evidentiary benefits of blockchain inscription without imposing the privacy costs. A merchant's participation in the network is invisible </w:t>
      </w:r>
      <w:proofErr w:type="gramStart"/>
      <w:r>
        <w:rPr>
          <w:color w:val="2C2C2C"/>
        </w:rPr>
        <w:t>on-chain</w:t>
      </w:r>
      <w:proofErr w:type="gramEnd"/>
      <w:r>
        <w:rPr>
          <w:color w:val="2C2C2C"/>
        </w:rPr>
        <w:t xml:space="preserve"> unless the merchant explicitly chooses to make it visible. The opt-in/opt-out boundary is controlled by the merchant, not the platform.</w:t>
      </w:r>
    </w:p>
    <w:p w14:paraId="3C069185" w14:textId="77777777" w:rsidR="00C54027" w:rsidRDefault="00424ADE">
      <w:pPr>
        <w:pStyle w:val="Heading2"/>
      </w:pPr>
      <w:bookmarkStart w:id="7" w:name="_Toc223417797"/>
      <w:r>
        <w:t>5. The Self-Sustaining Economic Loop</w:t>
      </w:r>
      <w:bookmarkEnd w:id="7"/>
    </w:p>
    <w:p w14:paraId="630962F2" w14:textId="77777777" w:rsidR="00C54027" w:rsidRDefault="00424ADE">
      <w:pPr>
        <w:spacing w:after="200" w:line="360" w:lineRule="auto"/>
        <w:jc w:val="both"/>
      </w:pPr>
      <w:r>
        <w:rPr>
          <w:color w:val="2C2C2C"/>
        </w:rPr>
        <w:t>Sovereignty without sustainability is merely aspiration. A critical design requirement of this system is that the economic model must be self-sustaining: the act of inscribing commercial proof must generate sufficient revenue to fund continued inscription without requiring external subsidy or venture-scale growth assumptions.</w:t>
      </w:r>
    </w:p>
    <w:p w14:paraId="7A25D0A0" w14:textId="77777777" w:rsidR="00C54027" w:rsidRDefault="00424ADE">
      <w:pPr>
        <w:spacing w:after="200" w:line="360" w:lineRule="auto"/>
        <w:jc w:val="both"/>
      </w:pPr>
      <w:r>
        <w:rPr>
          <w:color w:val="2C2C2C"/>
        </w:rPr>
        <w:t>The system achieves this through a four-stage economic loop:</w:t>
      </w:r>
    </w:p>
    <w:p w14:paraId="17C18DDA" w14:textId="77777777" w:rsidR="00C54027" w:rsidRDefault="00424ADE">
      <w:pPr>
        <w:pStyle w:val="ListParagraph"/>
        <w:numPr>
          <w:ilvl w:val="0"/>
          <w:numId w:val="4"/>
        </w:numPr>
        <w:spacing w:after="120" w:line="360" w:lineRule="auto"/>
      </w:pPr>
      <w:r>
        <w:rPr>
          <w:b/>
          <w:bCs/>
          <w:color w:val="2C2C2C"/>
        </w:rPr>
        <w:t xml:space="preserve">Inscribe: </w:t>
      </w:r>
      <w:r>
        <w:rPr>
          <w:color w:val="2C2C2C"/>
        </w:rPr>
        <w:t>Commercial events are batched into Merkle trees and inscribed on Bitcoin as Ordinal inscriptions. The cost per inscription decreases logarithmically with batch size.</w:t>
      </w:r>
    </w:p>
    <w:p w14:paraId="776BA41B" w14:textId="77777777" w:rsidR="00C54027" w:rsidRDefault="00424ADE">
      <w:pPr>
        <w:pStyle w:val="ListParagraph"/>
        <w:numPr>
          <w:ilvl w:val="0"/>
          <w:numId w:val="4"/>
        </w:numPr>
        <w:spacing w:after="120" w:line="360" w:lineRule="auto"/>
      </w:pPr>
      <w:r>
        <w:rPr>
          <w:b/>
          <w:bCs/>
          <w:color w:val="2C2C2C"/>
        </w:rPr>
        <w:t xml:space="preserve">Verify: </w:t>
      </w:r>
      <w:r>
        <w:rPr>
          <w:color w:val="2C2C2C"/>
        </w:rPr>
        <w:t>Third parties (insurers, auditors, counterparties, regulators) access verification services through an L402 Lightning paywall. Each verification request triggers a micropayment.</w:t>
      </w:r>
    </w:p>
    <w:p w14:paraId="77839DAF" w14:textId="77777777" w:rsidR="00C54027" w:rsidRDefault="00424ADE">
      <w:pPr>
        <w:pStyle w:val="ListParagraph"/>
        <w:numPr>
          <w:ilvl w:val="0"/>
          <w:numId w:val="4"/>
        </w:numPr>
        <w:spacing w:after="120" w:line="360" w:lineRule="auto"/>
      </w:pPr>
      <w:r>
        <w:rPr>
          <w:b/>
          <w:bCs/>
          <w:color w:val="2C2C2C"/>
        </w:rPr>
        <w:lastRenderedPageBreak/>
        <w:t xml:space="preserve">Treasury: </w:t>
      </w:r>
      <w:r>
        <w:rPr>
          <w:color w:val="2C2C2C"/>
        </w:rPr>
        <w:t>Micropayment revenue flows to a protocol treasury governed by transparent rules. The treasury funds inscription costs, infrastructure maintenance, and network expansion.</w:t>
      </w:r>
    </w:p>
    <w:p w14:paraId="0F4548C6" w14:textId="77777777" w:rsidR="00C54027" w:rsidRDefault="00424ADE">
      <w:pPr>
        <w:pStyle w:val="ListParagraph"/>
        <w:numPr>
          <w:ilvl w:val="0"/>
          <w:numId w:val="4"/>
        </w:numPr>
        <w:spacing w:after="120" w:line="360" w:lineRule="auto"/>
      </w:pPr>
      <w:r>
        <w:rPr>
          <w:b/>
          <w:bCs/>
          <w:color w:val="2C2C2C"/>
        </w:rPr>
        <w:t xml:space="preserve">Reinscribe: </w:t>
      </w:r>
      <w:r>
        <w:rPr>
          <w:color w:val="2C2C2C"/>
        </w:rPr>
        <w:t>Treasury-funded inscriptions increase the volume of verifiable records, which increases the demand for verification services, which increases treasury revenue.</w:t>
      </w:r>
    </w:p>
    <w:p w14:paraId="700593B1" w14:textId="77777777" w:rsidR="00C54027" w:rsidRDefault="00424ADE">
      <w:pPr>
        <w:spacing w:after="200" w:line="360" w:lineRule="auto"/>
        <w:jc w:val="both"/>
      </w:pPr>
      <w:r>
        <w:rPr>
          <w:color w:val="2C2C2C"/>
        </w:rPr>
        <w:t>This flywheel effect means the system reaches economic self-sustainability at a modest merchant count. Our modeling indicates that approximately 17 active merchants generating typical transaction volumes produce sufficient verification revenue to cover all inscription and infrastructure costs indefinitely.</w:t>
      </w:r>
    </w:p>
    <w:p w14:paraId="20FFDD3F" w14:textId="77777777" w:rsidR="00C54027" w:rsidRDefault="00424ADE">
      <w:pPr>
        <w:spacing w:after="200" w:line="360" w:lineRule="auto"/>
        <w:jc w:val="both"/>
      </w:pPr>
      <w:r>
        <w:rPr>
          <w:color w:val="2C2C2C"/>
        </w:rPr>
        <w:t>The economic model is not merely theoretical. The Lightning Network provides the payment rail, the L402 protocol provides the machine-to-machine paywall, and the Ordinals protocol provides the inscription mechanism. Each component exists in production today. The contribution of this work is their composition into a self-sustaining commercial proof system.</w:t>
      </w:r>
    </w:p>
    <w:p w14:paraId="12D77B9A" w14:textId="77777777" w:rsidR="00C54027" w:rsidRDefault="00424ADE">
      <w:pPr>
        <w:pStyle w:val="Heading1"/>
        <w:pageBreakBefore/>
      </w:pPr>
      <w:bookmarkStart w:id="8" w:name="_Toc223417798"/>
      <w:r>
        <w:lastRenderedPageBreak/>
        <w:t>Part B: Design Science — System Architecture</w:t>
      </w:r>
      <w:bookmarkEnd w:id="8"/>
    </w:p>
    <w:p w14:paraId="6FAD81E2" w14:textId="77777777" w:rsidR="00C54027" w:rsidRDefault="00424ADE">
      <w:pPr>
        <w:pStyle w:val="Heading2"/>
      </w:pPr>
      <w:bookmarkStart w:id="9" w:name="_Toc223417799"/>
      <w:r>
        <w:t>6. Methodology: Design Science Research</w:t>
      </w:r>
      <w:bookmarkEnd w:id="9"/>
    </w:p>
    <w:p w14:paraId="6E5CAB1E" w14:textId="77777777" w:rsidR="00C54027" w:rsidRDefault="00424ADE">
      <w:pPr>
        <w:spacing w:after="200" w:line="360" w:lineRule="auto"/>
        <w:jc w:val="both"/>
      </w:pPr>
      <w:r>
        <w:rPr>
          <w:color w:val="2C2C2C"/>
        </w:rPr>
        <w:t>This work follows the Design Science Research (DSR) methodology as formalized by Hevner et al. (2004), which establishes a rigorous framework for creating and evaluating IT artifacts that address identified organizational problems. DSR is particularly suited to this domain because the primary contribution is an architectural artifact, a system design, rather than a purely empirical observation.</w:t>
      </w:r>
    </w:p>
    <w:p w14:paraId="741D8D04" w14:textId="77777777" w:rsidR="00C54027" w:rsidRDefault="00424ADE">
      <w:pPr>
        <w:spacing w:after="200" w:line="360" w:lineRule="auto"/>
        <w:jc w:val="both"/>
      </w:pPr>
      <w:r>
        <w:rPr>
          <w:color w:val="2C2C2C"/>
        </w:rPr>
        <w:t>The DSR framework requires seven guidelines to be satisfied:</w:t>
      </w:r>
    </w:p>
    <w:p w14:paraId="2CB7BAAE" w14:textId="77777777" w:rsidR="00C54027" w:rsidRDefault="00424ADE">
      <w:pPr>
        <w:pStyle w:val="ListParagraph"/>
        <w:numPr>
          <w:ilvl w:val="0"/>
          <w:numId w:val="5"/>
        </w:numPr>
        <w:spacing w:after="120" w:line="360" w:lineRule="auto"/>
      </w:pPr>
      <w:r>
        <w:rPr>
          <w:b/>
          <w:bCs/>
          <w:color w:val="2C2C2C"/>
        </w:rPr>
        <w:t xml:space="preserve">Design as an Artifact: </w:t>
      </w:r>
      <w:r>
        <w:rPr>
          <w:color w:val="2C2C2C"/>
        </w:rPr>
        <w:t>The system architecture, protocol specification, and pipeline design constitute the artifact.</w:t>
      </w:r>
    </w:p>
    <w:p w14:paraId="1F81722A" w14:textId="77777777" w:rsidR="00C54027" w:rsidRDefault="00424ADE">
      <w:pPr>
        <w:pStyle w:val="ListParagraph"/>
        <w:numPr>
          <w:ilvl w:val="0"/>
          <w:numId w:val="5"/>
        </w:numPr>
        <w:spacing w:after="120" w:line="360" w:lineRule="auto"/>
      </w:pPr>
      <w:r>
        <w:rPr>
          <w:b/>
          <w:bCs/>
          <w:color w:val="2C2C2C"/>
        </w:rPr>
        <w:t xml:space="preserve">Problem Relevance: </w:t>
      </w:r>
      <w:r>
        <w:rPr>
          <w:color w:val="2C2C2C"/>
        </w:rPr>
        <w:t>The absence of independently verifiable commercial records is a documented problem with quantifiable economic impact.</w:t>
      </w:r>
    </w:p>
    <w:p w14:paraId="44057DA3" w14:textId="77777777" w:rsidR="00C54027" w:rsidRDefault="00424ADE">
      <w:pPr>
        <w:pStyle w:val="ListParagraph"/>
        <w:numPr>
          <w:ilvl w:val="0"/>
          <w:numId w:val="5"/>
        </w:numPr>
        <w:spacing w:after="120" w:line="360" w:lineRule="auto"/>
      </w:pPr>
      <w:r>
        <w:rPr>
          <w:b/>
          <w:bCs/>
          <w:color w:val="2C2C2C"/>
        </w:rPr>
        <w:t xml:space="preserve">Design Evaluation: </w:t>
      </w:r>
      <w:r>
        <w:rPr>
          <w:color w:val="2C2C2C"/>
        </w:rPr>
        <w:t>The artifact is evaluated through a live implementation (Canary LP) against a frozen specification of 174 acceptance criteria.</w:t>
      </w:r>
    </w:p>
    <w:p w14:paraId="21B1C1E4" w14:textId="77777777" w:rsidR="00C54027" w:rsidRDefault="00424ADE">
      <w:pPr>
        <w:pStyle w:val="ListParagraph"/>
        <w:numPr>
          <w:ilvl w:val="0"/>
          <w:numId w:val="5"/>
        </w:numPr>
        <w:spacing w:after="120" w:line="360" w:lineRule="auto"/>
      </w:pPr>
      <w:r>
        <w:rPr>
          <w:b/>
          <w:bCs/>
          <w:color w:val="2C2C2C"/>
        </w:rPr>
        <w:t xml:space="preserve">Research Contributions: </w:t>
      </w:r>
      <w:r>
        <w:rPr>
          <w:color w:val="2C2C2C"/>
        </w:rPr>
        <w:t>The Triple Subscriber Pattern, staged immutability model, and self-sustaining economic loop are novel contributions.</w:t>
      </w:r>
    </w:p>
    <w:p w14:paraId="3B67FBFB" w14:textId="77777777" w:rsidR="00C54027" w:rsidRDefault="00424ADE">
      <w:pPr>
        <w:pStyle w:val="ListParagraph"/>
        <w:numPr>
          <w:ilvl w:val="0"/>
          <w:numId w:val="5"/>
        </w:numPr>
        <w:spacing w:after="120" w:line="360" w:lineRule="auto"/>
      </w:pPr>
      <w:r>
        <w:rPr>
          <w:b/>
          <w:bCs/>
          <w:color w:val="2C2C2C"/>
        </w:rPr>
        <w:t xml:space="preserve">Research Rigor: </w:t>
      </w:r>
      <w:r>
        <w:rPr>
          <w:color w:val="2C2C2C"/>
        </w:rPr>
        <w:t>The architecture builds on formally specified protocols (Bitcoin, Lightning, Ordinals) with deterministic behavior.</w:t>
      </w:r>
    </w:p>
    <w:p w14:paraId="1F3A8FD9" w14:textId="77777777" w:rsidR="00C54027" w:rsidRDefault="00424ADE">
      <w:pPr>
        <w:pStyle w:val="ListParagraph"/>
        <w:numPr>
          <w:ilvl w:val="0"/>
          <w:numId w:val="5"/>
        </w:numPr>
        <w:spacing w:after="120" w:line="360" w:lineRule="auto"/>
      </w:pPr>
      <w:r>
        <w:rPr>
          <w:b/>
          <w:bCs/>
          <w:color w:val="2C2C2C"/>
        </w:rPr>
        <w:t xml:space="preserve">Design as a Search Process: </w:t>
      </w:r>
      <w:r>
        <w:rPr>
          <w:color w:val="2C2C2C"/>
        </w:rPr>
        <w:t>The architecture evolved through iterative prototyping with continuous verification against acceptance criteria.</w:t>
      </w:r>
    </w:p>
    <w:p w14:paraId="24AD2C22" w14:textId="77777777" w:rsidR="00C54027" w:rsidRDefault="00424ADE">
      <w:pPr>
        <w:pStyle w:val="ListParagraph"/>
        <w:numPr>
          <w:ilvl w:val="0"/>
          <w:numId w:val="5"/>
        </w:numPr>
        <w:spacing w:after="120" w:line="360" w:lineRule="auto"/>
      </w:pPr>
      <w:r>
        <w:rPr>
          <w:b/>
          <w:bCs/>
          <w:color w:val="2C2C2C"/>
        </w:rPr>
        <w:t xml:space="preserve">Communication of Research: </w:t>
      </w:r>
      <w:r>
        <w:rPr>
          <w:color w:val="2C2C2C"/>
        </w:rPr>
        <w:t>This paper, the patent filing, and the open specification serve as communication artifacts.</w:t>
      </w:r>
    </w:p>
    <w:p w14:paraId="2282E5F3" w14:textId="77777777" w:rsidR="00C54027" w:rsidRDefault="00424ADE">
      <w:pPr>
        <w:pStyle w:val="Heading2"/>
      </w:pPr>
      <w:bookmarkStart w:id="10" w:name="_Toc223417800"/>
      <w:r>
        <w:t>7. The Six-Node Pipeline Architecture</w:t>
      </w:r>
      <w:bookmarkEnd w:id="10"/>
    </w:p>
    <w:p w14:paraId="12BC6DB4" w14:textId="77777777" w:rsidR="00C54027" w:rsidRDefault="00424ADE">
      <w:pPr>
        <w:spacing w:after="200" w:line="360" w:lineRule="auto"/>
        <w:jc w:val="both"/>
      </w:pPr>
      <w:r>
        <w:rPr>
          <w:color w:val="2C2C2C"/>
        </w:rPr>
        <w:t>The core system artifact is a six-node pipeline that transforms raw commercial events into permanently anchored cryptographic proof. The architecture is designed for fault tolerance, independent scalability of each node, and zero merchant-facing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42CA" w14:paraId="11EBEB1C" w14:textId="77777777">
        <w:tblPrEx>
          <w:tblCellMar>
            <w:top w:w="0" w:type="dxa"/>
            <w:bottom w:w="0" w:type="dxa"/>
          </w:tblCellMar>
        </w:tblPrEx>
        <w:tc>
          <w:tcPr>
            <w:tcW w:w="9360" w:type="dxa"/>
            <w:shd w:val="clear" w:color="auto" w:fill="F5F7FA"/>
            <w:tcMar>
              <w:top w:w="200" w:type="dxa"/>
              <w:left w:w="200" w:type="dxa"/>
              <w:bottom w:w="200" w:type="dxa"/>
              <w:right w:w="200" w:type="dxa"/>
            </w:tcMar>
          </w:tcPr>
          <w:p w14:paraId="61C93E5F" w14:textId="77777777" w:rsidR="00C54027" w:rsidRDefault="00424ADE">
            <w:pPr>
              <w:spacing w:after="120"/>
              <w:jc w:val="center"/>
            </w:pPr>
            <w:r>
              <w:rPr>
                <w:i/>
                <w:iCs/>
                <w:color w:val="555555"/>
                <w:sz w:val="22"/>
                <w:szCs w:val="22"/>
              </w:rPr>
              <w:lastRenderedPageBreak/>
              <w:t>[FIG. 1: Six-Node Pipeline Architecture v3.0]</w:t>
            </w:r>
          </w:p>
          <w:p w14:paraId="006AB442" w14:textId="77777777" w:rsidR="00C54027" w:rsidRDefault="00424ADE">
            <w:pPr>
              <w:jc w:val="center"/>
            </w:pPr>
            <w:r>
              <w:rPr>
                <w:color w:val="555555"/>
                <w:sz w:val="20"/>
                <w:szCs w:val="20"/>
              </w:rPr>
              <w:t>Source Networks → API Gateway → Message Queue → Triple Subscriber → Bitcoin Inscription → Verification</w:t>
            </w:r>
          </w:p>
        </w:tc>
      </w:tr>
    </w:tbl>
    <w:p w14:paraId="31DBB4A9" w14:textId="77777777" w:rsidR="00C54027" w:rsidRDefault="00424ADE">
      <w:pPr>
        <w:spacing w:before="80" w:after="300"/>
        <w:jc w:val="center"/>
      </w:pPr>
      <w:r>
        <w:rPr>
          <w:b/>
          <w:bCs/>
          <w:color w:val="555555"/>
          <w:sz w:val="20"/>
          <w:szCs w:val="20"/>
        </w:rPr>
        <w:t xml:space="preserve">Figure 1. </w:t>
      </w:r>
      <w:r>
        <w:rPr>
          <w:i/>
          <w:iCs/>
          <w:color w:val="555555"/>
          <w:sz w:val="20"/>
          <w:szCs w:val="20"/>
        </w:rPr>
        <w:t>FIG. 1: Six-Node Pipeline Architecture v3.0</w:t>
      </w:r>
    </w:p>
    <w:p w14:paraId="54AE958A" w14:textId="77777777" w:rsidR="00C54027" w:rsidRDefault="00424ADE">
      <w:pPr>
        <w:spacing w:after="200" w:line="360" w:lineRule="auto"/>
        <w:jc w:val="both"/>
      </w:pPr>
      <w:r>
        <w:rPr>
          <w:color w:val="2C2C2C"/>
        </w:rPr>
        <w:t>The six nodes are:</w:t>
      </w:r>
    </w:p>
    <w:p w14:paraId="48ABC508" w14:textId="77777777" w:rsidR="00C54027" w:rsidRDefault="00424ADE">
      <w:pPr>
        <w:pStyle w:val="ListParagraph"/>
        <w:numPr>
          <w:ilvl w:val="0"/>
          <w:numId w:val="5"/>
        </w:numPr>
        <w:spacing w:after="120" w:line="360" w:lineRule="auto"/>
      </w:pPr>
      <w:r>
        <w:rPr>
          <w:b/>
          <w:bCs/>
          <w:color w:val="2C2C2C"/>
        </w:rPr>
        <w:t xml:space="preserve">Source Networks: </w:t>
      </w:r>
      <w:r>
        <w:rPr>
          <w:color w:val="2C2C2C"/>
        </w:rPr>
        <w:t>External data sources (Square, Stripe, Clover, etc.) that generate commercial events. The system is source-agnostic by design; any API-accessible commerce platform can serve as a source node.</w:t>
      </w:r>
    </w:p>
    <w:p w14:paraId="00B2A9BD" w14:textId="77777777" w:rsidR="00C54027" w:rsidRDefault="00424ADE">
      <w:pPr>
        <w:pStyle w:val="ListParagraph"/>
        <w:numPr>
          <w:ilvl w:val="0"/>
          <w:numId w:val="5"/>
        </w:numPr>
        <w:spacing w:after="120" w:line="360" w:lineRule="auto"/>
      </w:pPr>
      <w:r>
        <w:rPr>
          <w:b/>
          <w:bCs/>
          <w:color w:val="2C2C2C"/>
        </w:rPr>
        <w:t xml:space="preserve">API Gateway: </w:t>
      </w:r>
      <w:r>
        <w:rPr>
          <w:color w:val="2C2C2C"/>
        </w:rPr>
        <w:t>Receives inbound webhooks and API responses, performs authentication, rate limiting, and initial validation. Critically, the gateway timestamps and hashes each event at ingress, establishing the cryptographic chain of custody before any processing occurs.</w:t>
      </w:r>
    </w:p>
    <w:p w14:paraId="6126655D" w14:textId="77777777" w:rsidR="00C54027" w:rsidRDefault="00424ADE">
      <w:pPr>
        <w:pStyle w:val="ListParagraph"/>
        <w:numPr>
          <w:ilvl w:val="0"/>
          <w:numId w:val="5"/>
        </w:numPr>
        <w:spacing w:after="120" w:line="360" w:lineRule="auto"/>
      </w:pPr>
      <w:r>
        <w:rPr>
          <w:b/>
          <w:bCs/>
          <w:color w:val="2C2C2C"/>
        </w:rPr>
        <w:t xml:space="preserve">Message Queue: </w:t>
      </w:r>
      <w:r>
        <w:rPr>
          <w:color w:val="2C2C2C"/>
        </w:rPr>
        <w:t>A durable, ordered message queue (</w:t>
      </w:r>
      <w:proofErr w:type="spellStart"/>
      <w:r>
        <w:rPr>
          <w:color w:val="2C2C2C"/>
        </w:rPr>
        <w:t>Valkey</w:t>
      </w:r>
      <w:proofErr w:type="spellEnd"/>
      <w:r>
        <w:rPr>
          <w:color w:val="2C2C2C"/>
        </w:rPr>
        <w:t>/Redis Streams) that decouples ingestion from processing. Each message retains its ingress hash and timestamp. The queue guarantees at-least-once delivery and provides replay capability.</w:t>
      </w:r>
    </w:p>
    <w:p w14:paraId="190B9959" w14:textId="77777777" w:rsidR="00C54027" w:rsidRDefault="00424ADE">
      <w:pPr>
        <w:pStyle w:val="ListParagraph"/>
        <w:numPr>
          <w:ilvl w:val="0"/>
          <w:numId w:val="5"/>
        </w:numPr>
        <w:spacing w:after="120" w:line="360" w:lineRule="auto"/>
      </w:pPr>
      <w:r>
        <w:rPr>
          <w:b/>
          <w:bCs/>
          <w:color w:val="2C2C2C"/>
        </w:rPr>
        <w:t xml:space="preserve">Triple Subscriber: </w:t>
      </w:r>
      <w:r>
        <w:rPr>
          <w:color w:val="2C2C2C"/>
        </w:rPr>
        <w:t>Three independent consumers process each message in parallel. This is the novel architectural contribution and is described in detail in Section 8.</w:t>
      </w:r>
    </w:p>
    <w:p w14:paraId="6D06B43C" w14:textId="77777777" w:rsidR="00C54027" w:rsidRDefault="00424ADE">
      <w:pPr>
        <w:pStyle w:val="ListParagraph"/>
        <w:numPr>
          <w:ilvl w:val="0"/>
          <w:numId w:val="5"/>
        </w:numPr>
        <w:spacing w:after="120" w:line="360" w:lineRule="auto"/>
      </w:pPr>
      <w:r>
        <w:rPr>
          <w:b/>
          <w:bCs/>
          <w:color w:val="2C2C2C"/>
        </w:rPr>
        <w:t xml:space="preserve">Bitcoin Inscription Service: </w:t>
      </w:r>
      <w:r>
        <w:rPr>
          <w:color w:val="2C2C2C"/>
        </w:rPr>
        <w:t>Aggregates sealed event hashes into Merkle trees, generates Ordinal inscriptions, and broadcasts to the Bitcoin network. Operates on a configurable batch interval independent of event ingestion rate.</w:t>
      </w:r>
    </w:p>
    <w:p w14:paraId="353D57E3" w14:textId="77777777" w:rsidR="00C54027" w:rsidRDefault="00424ADE">
      <w:pPr>
        <w:pStyle w:val="ListParagraph"/>
        <w:numPr>
          <w:ilvl w:val="0"/>
          <w:numId w:val="5"/>
        </w:numPr>
        <w:spacing w:after="120" w:line="360" w:lineRule="auto"/>
      </w:pPr>
      <w:r>
        <w:rPr>
          <w:b/>
          <w:bCs/>
          <w:color w:val="2C2C2C"/>
        </w:rPr>
        <w:t xml:space="preserve">Verification Service: </w:t>
      </w:r>
      <w:r>
        <w:rPr>
          <w:color w:val="2C2C2C"/>
        </w:rPr>
        <w:t>Provides third-party verification of inscribed records via L402 Lightning paywall. Any party with a transaction reference can verify its existence and integrity against the Bitcoin time chain.</w:t>
      </w:r>
    </w:p>
    <w:p w14:paraId="0D615D22" w14:textId="77777777" w:rsidR="00C54027" w:rsidRDefault="00424ADE">
      <w:pPr>
        <w:pStyle w:val="Heading2"/>
      </w:pPr>
      <w:bookmarkStart w:id="11" w:name="_Toc223417801"/>
      <w:r>
        <w:t>8. The Triple Subscriber Pattern</w:t>
      </w:r>
      <w:bookmarkEnd w:id="11"/>
    </w:p>
    <w:p w14:paraId="6B3EA7A2" w14:textId="77777777" w:rsidR="00C54027" w:rsidRDefault="00424ADE">
      <w:pPr>
        <w:spacing w:after="200" w:line="360" w:lineRule="auto"/>
        <w:jc w:val="both"/>
      </w:pPr>
      <w:r>
        <w:rPr>
          <w:color w:val="2C2C2C"/>
        </w:rPr>
        <w:t xml:space="preserve">The Triple Subscriber Pattern (TSP) is the central architectural innovation of this system. It addresses a fundamental tension in commercial data systems: the need for both </w:t>
      </w:r>
      <w:proofErr w:type="spellStart"/>
      <w:r>
        <w:rPr>
          <w:color w:val="2C2C2C"/>
        </w:rPr>
        <w:lastRenderedPageBreak/>
        <w:t>queryable</w:t>
      </w:r>
      <w:proofErr w:type="spellEnd"/>
      <w:r>
        <w:rPr>
          <w:color w:val="2C2C2C"/>
        </w:rPr>
        <w:t xml:space="preserve"> application data and immutable evidentiary records, while simultaneously anchoring both to an external time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42CA" w14:paraId="04C81414" w14:textId="77777777">
        <w:tblPrEx>
          <w:tblCellMar>
            <w:top w:w="0" w:type="dxa"/>
            <w:bottom w:w="0" w:type="dxa"/>
          </w:tblCellMar>
        </w:tblPrEx>
        <w:tc>
          <w:tcPr>
            <w:tcW w:w="9360" w:type="dxa"/>
            <w:shd w:val="clear" w:color="auto" w:fill="F5F7FA"/>
            <w:tcMar>
              <w:top w:w="200" w:type="dxa"/>
              <w:left w:w="200" w:type="dxa"/>
              <w:bottom w:w="200" w:type="dxa"/>
              <w:right w:w="200" w:type="dxa"/>
            </w:tcMar>
          </w:tcPr>
          <w:p w14:paraId="5DB1DA3A" w14:textId="77777777" w:rsidR="00C54027" w:rsidRDefault="00424ADE">
            <w:pPr>
              <w:spacing w:after="120"/>
              <w:jc w:val="center"/>
            </w:pPr>
            <w:r>
              <w:rPr>
                <w:i/>
                <w:iCs/>
                <w:color w:val="555555"/>
                <w:sz w:val="22"/>
                <w:szCs w:val="22"/>
              </w:rPr>
              <w:t>[FIG. 3: Triple Subscriber Component Detail]</w:t>
            </w:r>
          </w:p>
          <w:p w14:paraId="0B0DBDF6" w14:textId="77777777" w:rsidR="00C54027" w:rsidRDefault="00424ADE">
            <w:pPr>
              <w:jc w:val="center"/>
            </w:pPr>
            <w:r>
              <w:rPr>
                <w:color w:val="555555"/>
                <w:sz w:val="20"/>
                <w:szCs w:val="20"/>
              </w:rPr>
              <w:t>Single inbound message → three independent processing paths: Seal, Parse, Inscribe</w:t>
            </w:r>
          </w:p>
        </w:tc>
      </w:tr>
    </w:tbl>
    <w:p w14:paraId="2EC6AF49" w14:textId="77777777" w:rsidR="00C54027" w:rsidRDefault="00424ADE">
      <w:pPr>
        <w:spacing w:before="80" w:after="300"/>
        <w:jc w:val="center"/>
      </w:pPr>
      <w:r>
        <w:rPr>
          <w:b/>
          <w:bCs/>
          <w:color w:val="555555"/>
          <w:sz w:val="20"/>
          <w:szCs w:val="20"/>
        </w:rPr>
        <w:t xml:space="preserve">Figure 3. </w:t>
      </w:r>
      <w:r>
        <w:rPr>
          <w:i/>
          <w:iCs/>
          <w:color w:val="555555"/>
          <w:sz w:val="20"/>
          <w:szCs w:val="20"/>
        </w:rPr>
        <w:t>FIG. 3: Triple Subscriber Component Detail</w:t>
      </w:r>
    </w:p>
    <w:p w14:paraId="173F56FE" w14:textId="77777777" w:rsidR="00C54027" w:rsidRDefault="00424ADE">
      <w:pPr>
        <w:spacing w:after="200" w:line="360" w:lineRule="auto"/>
        <w:jc w:val="both"/>
      </w:pPr>
      <w:r>
        <w:rPr>
          <w:color w:val="2C2C2C"/>
        </w:rPr>
        <w:t>The TSP operates as follows. A single inbound message from the queue is consumed simultaneously by three independent subscribers:</w:t>
      </w:r>
    </w:p>
    <w:p w14:paraId="73F90F15" w14:textId="77777777" w:rsidR="00C54027" w:rsidRDefault="00424ADE">
      <w:pPr>
        <w:pStyle w:val="ListParagraph"/>
        <w:numPr>
          <w:ilvl w:val="0"/>
          <w:numId w:val="6"/>
        </w:numPr>
        <w:spacing w:after="120" w:line="360" w:lineRule="auto"/>
      </w:pPr>
      <w:r>
        <w:rPr>
          <w:color w:val="2C2C2C"/>
        </w:rPr>
        <w:t>Subscriber 1 — Seal (Evidence Store): Writes a cryptographically sealed, append-only record to a write-once evidence store. This record is immutable and insert-only, enforced by PostgreSQL database triggers that raise IMMUTABILITY VIOLATION on any UPDATE or DELETE attempt. The evidence store is the system's internal source of truth.</w:t>
      </w:r>
    </w:p>
    <w:p w14:paraId="34C49D67" w14:textId="77777777" w:rsidR="00C54027" w:rsidRDefault="00424ADE">
      <w:pPr>
        <w:pStyle w:val="ListParagraph"/>
        <w:numPr>
          <w:ilvl w:val="0"/>
          <w:numId w:val="6"/>
        </w:numPr>
        <w:spacing w:after="120" w:line="360" w:lineRule="auto"/>
      </w:pPr>
      <w:r>
        <w:rPr>
          <w:color w:val="2C2C2C"/>
        </w:rPr>
        <w:t xml:space="preserve">Subscriber 2 — Parse (Application Store): Parses the event into a structured, </w:t>
      </w:r>
      <w:proofErr w:type="spellStart"/>
      <w:r>
        <w:rPr>
          <w:color w:val="2C2C2C"/>
        </w:rPr>
        <w:t>queryable</w:t>
      </w:r>
      <w:proofErr w:type="spellEnd"/>
      <w:r>
        <w:rPr>
          <w:color w:val="2C2C2C"/>
        </w:rPr>
        <w:t xml:space="preserve"> format in the application database. This store supports the full range of application operations: dashboards, alerts, reporting, anomaly detection. It is </w:t>
      </w:r>
      <w:proofErr w:type="spellStart"/>
      <w:r>
        <w:rPr>
          <w:color w:val="2C2C2C"/>
        </w:rPr>
        <w:t>replayable</w:t>
      </w:r>
      <w:proofErr w:type="spellEnd"/>
      <w:r>
        <w:rPr>
          <w:color w:val="2C2C2C"/>
        </w:rPr>
        <w:t xml:space="preserve"> from the evidence store at any time.</w:t>
      </w:r>
    </w:p>
    <w:p w14:paraId="75D74D29" w14:textId="77777777" w:rsidR="00C54027" w:rsidRDefault="00424ADE">
      <w:pPr>
        <w:pStyle w:val="ListParagraph"/>
        <w:numPr>
          <w:ilvl w:val="0"/>
          <w:numId w:val="6"/>
        </w:numPr>
        <w:spacing w:after="120" w:line="360" w:lineRule="auto"/>
      </w:pPr>
      <w:r>
        <w:rPr>
          <w:color w:val="2C2C2C"/>
        </w:rPr>
        <w:t>Subscriber 3 — Inscribe (Bitcoin Service): Extracts the event hash and adds it to the current Merkle batch. When the batch threshold is reached (configurable by time or count), the Merkle root is inscribed on Bitcoin as an Ordinal inscription. The inscription contains the Merkle root, batch metadata, and a reference to the namespace.</w:t>
      </w:r>
    </w:p>
    <w:p w14:paraId="5FB80871" w14:textId="77777777" w:rsidR="00C54027" w:rsidRDefault="00424ADE">
      <w:pPr>
        <w:spacing w:after="200" w:line="360" w:lineRule="auto"/>
        <w:jc w:val="both"/>
      </w:pPr>
      <w:r>
        <w:rPr>
          <w:color w:val="2C2C2C"/>
        </w:rPr>
        <w:t>The independence of these three paths is a critical design property. If any single subscriber fails, the other two continue operating. The evidence store can reconstruct the application store. The Bitcoin inscription can verify the evidence store. No single point of failure can compromise all three data paths simultaneously.</w:t>
      </w:r>
    </w:p>
    <w:p w14:paraId="3228BC21" w14:textId="77777777" w:rsidR="00C54027" w:rsidRDefault="00424ADE">
      <w:pPr>
        <w:pStyle w:val="Heading2"/>
      </w:pPr>
      <w:bookmarkStart w:id="12" w:name="_Toc223417802"/>
      <w:r>
        <w:t>9. Staged Immutability and the Trust Hierarchy</w:t>
      </w:r>
      <w:bookmarkEnd w:id="12"/>
    </w:p>
    <w:p w14:paraId="5FC61919" w14:textId="77777777" w:rsidR="00C54027" w:rsidRDefault="00424ADE">
      <w:pPr>
        <w:spacing w:after="200" w:line="360" w:lineRule="auto"/>
        <w:jc w:val="both"/>
      </w:pPr>
      <w:r>
        <w:rPr>
          <w:color w:val="2C2C2C"/>
        </w:rPr>
        <w:lastRenderedPageBreak/>
        <w:t>The system implements a four-tier staged immutability model that provides increasing levels of permanence and trust at each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42CA" w14:paraId="26671CBE" w14:textId="77777777">
        <w:tblPrEx>
          <w:tblCellMar>
            <w:top w:w="0" w:type="dxa"/>
            <w:bottom w:w="0" w:type="dxa"/>
          </w:tblCellMar>
        </w:tblPrEx>
        <w:tc>
          <w:tcPr>
            <w:tcW w:w="9360" w:type="dxa"/>
            <w:shd w:val="clear" w:color="auto" w:fill="F5F7FA"/>
            <w:tcMar>
              <w:top w:w="200" w:type="dxa"/>
              <w:left w:w="200" w:type="dxa"/>
              <w:bottom w:w="200" w:type="dxa"/>
              <w:right w:w="200" w:type="dxa"/>
            </w:tcMar>
          </w:tcPr>
          <w:p w14:paraId="4DBDCF7D" w14:textId="77777777" w:rsidR="00C54027" w:rsidRDefault="00424ADE">
            <w:pPr>
              <w:spacing w:after="120"/>
              <w:jc w:val="center"/>
            </w:pPr>
            <w:r>
              <w:rPr>
                <w:i/>
                <w:iCs/>
                <w:color w:val="555555"/>
                <w:sz w:val="22"/>
                <w:szCs w:val="22"/>
              </w:rPr>
              <w:t>[FIG. 4: Data Sovereignty Stack]</w:t>
            </w:r>
          </w:p>
          <w:p w14:paraId="05CDCE79" w14:textId="77777777" w:rsidR="00C54027" w:rsidRDefault="00424ADE">
            <w:pPr>
              <w:jc w:val="center"/>
            </w:pPr>
            <w:r>
              <w:rPr>
                <w:color w:val="555555"/>
                <w:sz w:val="20"/>
                <w:szCs w:val="20"/>
              </w:rPr>
              <w:t>Four trust tiers from Application Layer (hours) through Evidence Store (years) to Bitcoin (permanent)</w:t>
            </w:r>
          </w:p>
        </w:tc>
      </w:tr>
    </w:tbl>
    <w:p w14:paraId="39D25C0D" w14:textId="77777777" w:rsidR="00C54027" w:rsidRDefault="00424ADE">
      <w:pPr>
        <w:spacing w:before="80" w:after="300"/>
        <w:jc w:val="center"/>
      </w:pPr>
      <w:r>
        <w:rPr>
          <w:b/>
          <w:bCs/>
          <w:color w:val="555555"/>
          <w:sz w:val="20"/>
          <w:szCs w:val="20"/>
        </w:rPr>
        <w:t xml:space="preserve">Figure 4. </w:t>
      </w:r>
      <w:r>
        <w:rPr>
          <w:i/>
          <w:iCs/>
          <w:color w:val="555555"/>
          <w:sz w:val="20"/>
          <w:szCs w:val="20"/>
        </w:rPr>
        <w:t>FIG. 4: Data Sovereignty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4E42CA" w14:paraId="43E9EDE2" w14:textId="77777777">
        <w:tblPrEx>
          <w:tblCellMar>
            <w:top w:w="0" w:type="dxa"/>
            <w:bottom w:w="0" w:type="dxa"/>
          </w:tblCellMar>
        </w:tblPrEx>
        <w:tc>
          <w:tcPr>
            <w:tcW w:w="2200" w:type="dxa"/>
            <w:shd w:val="clear" w:color="auto" w:fill="1B3A5C"/>
            <w:tcMar>
              <w:top w:w="80" w:type="dxa"/>
              <w:left w:w="120" w:type="dxa"/>
              <w:bottom w:w="80" w:type="dxa"/>
              <w:right w:w="120" w:type="dxa"/>
            </w:tcMar>
          </w:tcPr>
          <w:p w14:paraId="562225AE" w14:textId="77777777" w:rsidR="00C54027" w:rsidRDefault="00424ADE">
            <w:r>
              <w:rPr>
                <w:b/>
                <w:bCs/>
                <w:color w:val="FFFFFF"/>
                <w:sz w:val="22"/>
                <w:szCs w:val="22"/>
              </w:rPr>
              <w:t>Tier</w:t>
            </w:r>
          </w:p>
        </w:tc>
        <w:tc>
          <w:tcPr>
            <w:tcW w:w="2200" w:type="dxa"/>
            <w:shd w:val="clear" w:color="auto" w:fill="1B3A5C"/>
            <w:tcMar>
              <w:top w:w="80" w:type="dxa"/>
              <w:left w:w="120" w:type="dxa"/>
              <w:bottom w:w="80" w:type="dxa"/>
              <w:right w:w="120" w:type="dxa"/>
            </w:tcMar>
          </w:tcPr>
          <w:p w14:paraId="770C5E92" w14:textId="77777777" w:rsidR="00C54027" w:rsidRDefault="00424ADE">
            <w:r>
              <w:rPr>
                <w:b/>
                <w:bCs/>
                <w:color w:val="FFFFFF"/>
                <w:sz w:val="22"/>
                <w:szCs w:val="22"/>
              </w:rPr>
              <w:t>Permanence</w:t>
            </w:r>
          </w:p>
        </w:tc>
        <w:tc>
          <w:tcPr>
            <w:tcW w:w="2200" w:type="dxa"/>
            <w:shd w:val="clear" w:color="auto" w:fill="1B3A5C"/>
            <w:tcMar>
              <w:top w:w="80" w:type="dxa"/>
              <w:left w:w="120" w:type="dxa"/>
              <w:bottom w:w="80" w:type="dxa"/>
              <w:right w:w="120" w:type="dxa"/>
            </w:tcMar>
          </w:tcPr>
          <w:p w14:paraId="3095097E" w14:textId="77777777" w:rsidR="00C54027" w:rsidRDefault="00424ADE">
            <w:r>
              <w:rPr>
                <w:b/>
                <w:bCs/>
                <w:color w:val="FFFFFF"/>
                <w:sz w:val="22"/>
                <w:szCs w:val="22"/>
              </w:rPr>
              <w:t>Mutability</w:t>
            </w:r>
          </w:p>
        </w:tc>
        <w:tc>
          <w:tcPr>
            <w:tcW w:w="2760" w:type="dxa"/>
            <w:shd w:val="clear" w:color="auto" w:fill="1B3A5C"/>
            <w:tcMar>
              <w:top w:w="80" w:type="dxa"/>
              <w:left w:w="120" w:type="dxa"/>
              <w:bottom w:w="80" w:type="dxa"/>
              <w:right w:w="120" w:type="dxa"/>
            </w:tcMar>
          </w:tcPr>
          <w:p w14:paraId="6099E364" w14:textId="77777777" w:rsidR="00C54027" w:rsidRDefault="00424ADE">
            <w:r>
              <w:rPr>
                <w:b/>
                <w:bCs/>
                <w:color w:val="FFFFFF"/>
                <w:sz w:val="22"/>
                <w:szCs w:val="22"/>
              </w:rPr>
              <w:t>Verification</w:t>
            </w:r>
          </w:p>
        </w:tc>
      </w:tr>
      <w:tr w:rsidR="004E42CA" w14:paraId="432B6868" w14:textId="77777777">
        <w:tblPrEx>
          <w:tblCellMar>
            <w:top w:w="0" w:type="dxa"/>
            <w:bottom w:w="0" w:type="dxa"/>
          </w:tblCellMar>
        </w:tblPrEx>
        <w:tc>
          <w:tcPr>
            <w:tcW w:w="2200" w:type="dxa"/>
            <w:shd w:val="clear" w:color="auto" w:fill="F5F7FA"/>
            <w:tcMar>
              <w:top w:w="80" w:type="dxa"/>
              <w:left w:w="120" w:type="dxa"/>
              <w:bottom w:w="80" w:type="dxa"/>
              <w:right w:w="120" w:type="dxa"/>
            </w:tcMar>
          </w:tcPr>
          <w:p w14:paraId="68109FC8" w14:textId="77777777" w:rsidR="00C54027" w:rsidRDefault="00424ADE">
            <w:r>
              <w:rPr>
                <w:color w:val="2C2C2C"/>
                <w:sz w:val="22"/>
                <w:szCs w:val="22"/>
              </w:rPr>
              <w:t>Application Layer</w:t>
            </w:r>
          </w:p>
        </w:tc>
        <w:tc>
          <w:tcPr>
            <w:tcW w:w="2200" w:type="dxa"/>
            <w:shd w:val="clear" w:color="auto" w:fill="F5F7FA"/>
            <w:tcMar>
              <w:top w:w="80" w:type="dxa"/>
              <w:left w:w="120" w:type="dxa"/>
              <w:bottom w:w="80" w:type="dxa"/>
              <w:right w:w="120" w:type="dxa"/>
            </w:tcMar>
          </w:tcPr>
          <w:p w14:paraId="60CEB796" w14:textId="77777777" w:rsidR="00C54027" w:rsidRDefault="00424ADE">
            <w:r>
              <w:rPr>
                <w:color w:val="2C2C2C"/>
                <w:sz w:val="22"/>
                <w:szCs w:val="22"/>
              </w:rPr>
              <w:t>Hours–Days</w:t>
            </w:r>
          </w:p>
        </w:tc>
        <w:tc>
          <w:tcPr>
            <w:tcW w:w="2200" w:type="dxa"/>
            <w:shd w:val="clear" w:color="auto" w:fill="F5F7FA"/>
            <w:tcMar>
              <w:top w:w="80" w:type="dxa"/>
              <w:left w:w="120" w:type="dxa"/>
              <w:bottom w:w="80" w:type="dxa"/>
              <w:right w:w="120" w:type="dxa"/>
            </w:tcMar>
          </w:tcPr>
          <w:p w14:paraId="7565DFF6" w14:textId="77777777" w:rsidR="00C54027" w:rsidRDefault="00424ADE">
            <w:r>
              <w:rPr>
                <w:color w:val="2C2C2C"/>
                <w:sz w:val="22"/>
                <w:szCs w:val="22"/>
              </w:rPr>
              <w:t>Full CRUD</w:t>
            </w:r>
          </w:p>
        </w:tc>
        <w:tc>
          <w:tcPr>
            <w:tcW w:w="2760" w:type="dxa"/>
            <w:shd w:val="clear" w:color="auto" w:fill="F5F7FA"/>
            <w:tcMar>
              <w:top w:w="80" w:type="dxa"/>
              <w:left w:w="120" w:type="dxa"/>
              <w:bottom w:w="80" w:type="dxa"/>
              <w:right w:w="120" w:type="dxa"/>
            </w:tcMar>
          </w:tcPr>
          <w:p w14:paraId="604DE4D7" w14:textId="77777777" w:rsidR="00C54027" w:rsidRDefault="00424ADE">
            <w:r>
              <w:rPr>
                <w:color w:val="2C2C2C"/>
                <w:sz w:val="22"/>
                <w:szCs w:val="22"/>
              </w:rPr>
              <w:t>Internal only</w:t>
            </w:r>
          </w:p>
        </w:tc>
      </w:tr>
      <w:tr w:rsidR="004E42CA" w14:paraId="0B99684D" w14:textId="77777777">
        <w:tblPrEx>
          <w:tblCellMar>
            <w:top w:w="0" w:type="dxa"/>
            <w:bottom w:w="0" w:type="dxa"/>
          </w:tblCellMar>
        </w:tblPrEx>
        <w:tc>
          <w:tcPr>
            <w:tcW w:w="2200" w:type="dxa"/>
            <w:tcMar>
              <w:top w:w="80" w:type="dxa"/>
              <w:left w:w="120" w:type="dxa"/>
              <w:bottom w:w="80" w:type="dxa"/>
              <w:right w:w="120" w:type="dxa"/>
            </w:tcMar>
          </w:tcPr>
          <w:p w14:paraId="66613D46" w14:textId="77777777" w:rsidR="00C54027" w:rsidRDefault="00424ADE">
            <w:r>
              <w:rPr>
                <w:color w:val="2C2C2C"/>
                <w:sz w:val="22"/>
                <w:szCs w:val="22"/>
              </w:rPr>
              <w:t>Structured Store</w:t>
            </w:r>
          </w:p>
        </w:tc>
        <w:tc>
          <w:tcPr>
            <w:tcW w:w="2200" w:type="dxa"/>
            <w:tcMar>
              <w:top w:w="80" w:type="dxa"/>
              <w:left w:w="120" w:type="dxa"/>
              <w:bottom w:w="80" w:type="dxa"/>
              <w:right w:w="120" w:type="dxa"/>
            </w:tcMar>
          </w:tcPr>
          <w:p w14:paraId="3B788A03" w14:textId="77777777" w:rsidR="00C54027" w:rsidRDefault="00424ADE">
            <w:r>
              <w:rPr>
                <w:color w:val="2C2C2C"/>
                <w:sz w:val="22"/>
                <w:szCs w:val="22"/>
              </w:rPr>
              <w:t>Days–Months</w:t>
            </w:r>
          </w:p>
        </w:tc>
        <w:tc>
          <w:tcPr>
            <w:tcW w:w="2200" w:type="dxa"/>
            <w:tcMar>
              <w:top w:w="80" w:type="dxa"/>
              <w:left w:w="120" w:type="dxa"/>
              <w:bottom w:w="80" w:type="dxa"/>
              <w:right w:w="120" w:type="dxa"/>
            </w:tcMar>
          </w:tcPr>
          <w:p w14:paraId="1A5357EE" w14:textId="77777777" w:rsidR="00C54027" w:rsidRDefault="00424ADE">
            <w:r>
              <w:rPr>
                <w:color w:val="2C2C2C"/>
                <w:sz w:val="22"/>
                <w:szCs w:val="22"/>
              </w:rPr>
              <w:t>Append + Replay</w:t>
            </w:r>
          </w:p>
        </w:tc>
        <w:tc>
          <w:tcPr>
            <w:tcW w:w="2760" w:type="dxa"/>
            <w:tcMar>
              <w:top w:w="80" w:type="dxa"/>
              <w:left w:w="120" w:type="dxa"/>
              <w:bottom w:w="80" w:type="dxa"/>
              <w:right w:w="120" w:type="dxa"/>
            </w:tcMar>
          </w:tcPr>
          <w:p w14:paraId="0A60F9D7" w14:textId="77777777" w:rsidR="00C54027" w:rsidRDefault="00424ADE">
            <w:r>
              <w:rPr>
                <w:color w:val="2C2C2C"/>
                <w:sz w:val="22"/>
                <w:szCs w:val="22"/>
              </w:rPr>
              <w:t>Hash-chain verified</w:t>
            </w:r>
          </w:p>
        </w:tc>
      </w:tr>
      <w:tr w:rsidR="004E42CA" w14:paraId="015D1CA5" w14:textId="77777777">
        <w:tblPrEx>
          <w:tblCellMar>
            <w:top w:w="0" w:type="dxa"/>
            <w:bottom w:w="0" w:type="dxa"/>
          </w:tblCellMar>
        </w:tblPrEx>
        <w:tc>
          <w:tcPr>
            <w:tcW w:w="2200" w:type="dxa"/>
            <w:shd w:val="clear" w:color="auto" w:fill="F5F7FA"/>
            <w:tcMar>
              <w:top w:w="80" w:type="dxa"/>
              <w:left w:w="120" w:type="dxa"/>
              <w:bottom w:w="80" w:type="dxa"/>
              <w:right w:w="120" w:type="dxa"/>
            </w:tcMar>
          </w:tcPr>
          <w:p w14:paraId="2A1E2800" w14:textId="77777777" w:rsidR="00C54027" w:rsidRDefault="00424ADE">
            <w:r>
              <w:rPr>
                <w:color w:val="2C2C2C"/>
                <w:sz w:val="22"/>
                <w:szCs w:val="22"/>
              </w:rPr>
              <w:t>Evidence Store</w:t>
            </w:r>
          </w:p>
        </w:tc>
        <w:tc>
          <w:tcPr>
            <w:tcW w:w="2200" w:type="dxa"/>
            <w:shd w:val="clear" w:color="auto" w:fill="F5F7FA"/>
            <w:tcMar>
              <w:top w:w="80" w:type="dxa"/>
              <w:left w:w="120" w:type="dxa"/>
              <w:bottom w:w="80" w:type="dxa"/>
              <w:right w:w="120" w:type="dxa"/>
            </w:tcMar>
          </w:tcPr>
          <w:p w14:paraId="61F15AB8" w14:textId="77777777" w:rsidR="00C54027" w:rsidRDefault="00424ADE">
            <w:r>
              <w:rPr>
                <w:color w:val="2C2C2C"/>
                <w:sz w:val="22"/>
                <w:szCs w:val="22"/>
              </w:rPr>
              <w:t>Years</w:t>
            </w:r>
          </w:p>
        </w:tc>
        <w:tc>
          <w:tcPr>
            <w:tcW w:w="2200" w:type="dxa"/>
            <w:shd w:val="clear" w:color="auto" w:fill="F5F7FA"/>
            <w:tcMar>
              <w:top w:w="80" w:type="dxa"/>
              <w:left w:w="120" w:type="dxa"/>
              <w:bottom w:w="80" w:type="dxa"/>
              <w:right w:w="120" w:type="dxa"/>
            </w:tcMar>
          </w:tcPr>
          <w:p w14:paraId="03323311" w14:textId="77777777" w:rsidR="00C54027" w:rsidRDefault="00424ADE">
            <w:r>
              <w:rPr>
                <w:color w:val="2C2C2C"/>
                <w:sz w:val="22"/>
                <w:szCs w:val="22"/>
              </w:rPr>
              <w:t>Insert-only</w:t>
            </w:r>
          </w:p>
        </w:tc>
        <w:tc>
          <w:tcPr>
            <w:tcW w:w="2760" w:type="dxa"/>
            <w:shd w:val="clear" w:color="auto" w:fill="F5F7FA"/>
            <w:tcMar>
              <w:top w:w="80" w:type="dxa"/>
              <w:left w:w="120" w:type="dxa"/>
              <w:bottom w:w="80" w:type="dxa"/>
              <w:right w:w="120" w:type="dxa"/>
            </w:tcMar>
          </w:tcPr>
          <w:p w14:paraId="37DDCE12" w14:textId="77777777" w:rsidR="00C54027" w:rsidRDefault="00424ADE">
            <w:r>
              <w:rPr>
                <w:color w:val="2C2C2C"/>
                <w:sz w:val="22"/>
                <w:szCs w:val="22"/>
              </w:rPr>
              <w:t>Trigger-enforced</w:t>
            </w:r>
          </w:p>
        </w:tc>
      </w:tr>
      <w:tr w:rsidR="004E42CA" w14:paraId="36B391B0" w14:textId="77777777">
        <w:tblPrEx>
          <w:tblCellMar>
            <w:top w:w="0" w:type="dxa"/>
            <w:bottom w:w="0" w:type="dxa"/>
          </w:tblCellMar>
        </w:tblPrEx>
        <w:tc>
          <w:tcPr>
            <w:tcW w:w="2200" w:type="dxa"/>
            <w:tcMar>
              <w:top w:w="80" w:type="dxa"/>
              <w:left w:w="120" w:type="dxa"/>
              <w:bottom w:w="80" w:type="dxa"/>
              <w:right w:w="120" w:type="dxa"/>
            </w:tcMar>
          </w:tcPr>
          <w:p w14:paraId="0D72DB2D" w14:textId="77777777" w:rsidR="00C54027" w:rsidRDefault="00424ADE">
            <w:r>
              <w:rPr>
                <w:color w:val="2C2C2C"/>
                <w:sz w:val="22"/>
                <w:szCs w:val="22"/>
              </w:rPr>
              <w:t>Bitcoin Time Chain</w:t>
            </w:r>
          </w:p>
        </w:tc>
        <w:tc>
          <w:tcPr>
            <w:tcW w:w="2200" w:type="dxa"/>
            <w:tcMar>
              <w:top w:w="80" w:type="dxa"/>
              <w:left w:w="120" w:type="dxa"/>
              <w:bottom w:w="80" w:type="dxa"/>
              <w:right w:w="120" w:type="dxa"/>
            </w:tcMar>
          </w:tcPr>
          <w:p w14:paraId="0A4F113C" w14:textId="77777777" w:rsidR="00C54027" w:rsidRDefault="00424ADE">
            <w:r>
              <w:rPr>
                <w:color w:val="2C2C2C"/>
                <w:sz w:val="22"/>
                <w:szCs w:val="22"/>
              </w:rPr>
              <w:t>Permanent (∞)</w:t>
            </w:r>
          </w:p>
        </w:tc>
        <w:tc>
          <w:tcPr>
            <w:tcW w:w="2200" w:type="dxa"/>
            <w:tcMar>
              <w:top w:w="80" w:type="dxa"/>
              <w:left w:w="120" w:type="dxa"/>
              <w:bottom w:w="80" w:type="dxa"/>
              <w:right w:w="120" w:type="dxa"/>
            </w:tcMar>
          </w:tcPr>
          <w:p w14:paraId="1654F401" w14:textId="77777777" w:rsidR="00C54027" w:rsidRDefault="00424ADE">
            <w:r>
              <w:rPr>
                <w:color w:val="2C2C2C"/>
                <w:sz w:val="22"/>
                <w:szCs w:val="22"/>
              </w:rPr>
              <w:t>None</w:t>
            </w:r>
          </w:p>
        </w:tc>
        <w:tc>
          <w:tcPr>
            <w:tcW w:w="2760" w:type="dxa"/>
            <w:tcMar>
              <w:top w:w="80" w:type="dxa"/>
              <w:left w:w="120" w:type="dxa"/>
              <w:bottom w:w="80" w:type="dxa"/>
              <w:right w:w="120" w:type="dxa"/>
            </w:tcMar>
          </w:tcPr>
          <w:p w14:paraId="54218F99" w14:textId="77777777" w:rsidR="00C54027" w:rsidRDefault="00424ADE">
            <w:r>
              <w:rPr>
                <w:color w:val="2C2C2C"/>
                <w:sz w:val="22"/>
                <w:szCs w:val="22"/>
              </w:rPr>
              <w:t>Global, independent</w:t>
            </w:r>
          </w:p>
        </w:tc>
      </w:tr>
    </w:tbl>
    <w:p w14:paraId="4BA11DC5" w14:textId="77777777" w:rsidR="00C54027" w:rsidRDefault="00C54027">
      <w:pPr>
        <w:spacing w:after="200"/>
      </w:pPr>
    </w:p>
    <w:p w14:paraId="7EFFE8DA" w14:textId="77777777" w:rsidR="00C54027" w:rsidRDefault="00424ADE">
      <w:pPr>
        <w:spacing w:after="200" w:line="360" w:lineRule="auto"/>
        <w:jc w:val="both"/>
      </w:pPr>
      <w:r>
        <w:rPr>
          <w:color w:val="2C2C2C"/>
        </w:rPr>
        <w:t>This staged model provides what we term the cockroach test: if all application infrastructure were destroyed and only the Bitcoin time chain remained, could a third party independently verify the integrity of every commercial transaction? The architecture is designed so that the answer is affirmative.</w:t>
      </w:r>
    </w:p>
    <w:p w14:paraId="3A94EEAE" w14:textId="77777777" w:rsidR="00C54027" w:rsidRDefault="00424ADE">
      <w:pPr>
        <w:pStyle w:val="Heading2"/>
      </w:pPr>
      <w:bookmarkStart w:id="13" w:name="_Toc223417803"/>
      <w:r>
        <w:t xml:space="preserve">10. The </w:t>
      </w:r>
      <w:proofErr w:type="spellStart"/>
      <w:r>
        <w:t>elJeffe</w:t>
      </w:r>
      <w:proofErr w:type="spellEnd"/>
      <w:r>
        <w:t xml:space="preserve"> Protocol</w:t>
      </w:r>
      <w:bookmarkEnd w:id="13"/>
    </w:p>
    <w:p w14:paraId="7E9549DF" w14:textId="77777777" w:rsidR="00C54027" w:rsidRDefault="00424ADE">
      <w:pPr>
        <w:spacing w:after="200" w:line="360" w:lineRule="auto"/>
        <w:jc w:val="both"/>
      </w:pPr>
      <w:r>
        <w:rPr>
          <w:color w:val="2C2C2C"/>
        </w:rPr>
        <w:t xml:space="preserve">The </w:t>
      </w:r>
      <w:proofErr w:type="spellStart"/>
      <w:r>
        <w:rPr>
          <w:color w:val="2C2C2C"/>
        </w:rPr>
        <w:t>elJeffe</w:t>
      </w:r>
      <w:proofErr w:type="spellEnd"/>
      <w:r>
        <w:rPr>
          <w:color w:val="2C2C2C"/>
        </w:rPr>
        <w:t xml:space="preserve"> Protocol is a self-describing, server-independent verification protocol that governs how commercial events are inscribed on the Bitcoin time chain. The protocol defines four inscription types:</w:t>
      </w:r>
    </w:p>
    <w:p w14:paraId="403FE6D9" w14:textId="77777777" w:rsidR="00C54027" w:rsidRDefault="00424ADE">
      <w:pPr>
        <w:pStyle w:val="ListParagraph"/>
        <w:numPr>
          <w:ilvl w:val="0"/>
          <w:numId w:val="7"/>
        </w:numPr>
        <w:spacing w:after="120" w:line="360" w:lineRule="auto"/>
      </w:pPr>
      <w:r>
        <w:rPr>
          <w:color w:val="2C2C2C"/>
        </w:rPr>
        <w:t>Genesis Inscription: The initial inscription that establishes a new namespace and its verification parameters. Contains the namespace GUID, the public key of the issuing entity, and the protocol version.</w:t>
      </w:r>
    </w:p>
    <w:p w14:paraId="6E87EFD1" w14:textId="77777777" w:rsidR="00C54027" w:rsidRDefault="00424ADE">
      <w:pPr>
        <w:pStyle w:val="ListParagraph"/>
        <w:numPr>
          <w:ilvl w:val="0"/>
          <w:numId w:val="7"/>
        </w:numPr>
        <w:spacing w:after="120" w:line="360" w:lineRule="auto"/>
      </w:pPr>
      <w:r>
        <w:rPr>
          <w:color w:val="2C2C2C"/>
        </w:rPr>
        <w:t>Namespace Inscription: Registers a human-readable alias for a GUID namespace on Layer 2. The alias is resolvable but not required for verification.</w:t>
      </w:r>
    </w:p>
    <w:p w14:paraId="70080EB9" w14:textId="77777777" w:rsidR="00C54027" w:rsidRDefault="00424ADE">
      <w:pPr>
        <w:pStyle w:val="ListParagraph"/>
        <w:numPr>
          <w:ilvl w:val="0"/>
          <w:numId w:val="7"/>
        </w:numPr>
        <w:spacing w:after="120" w:line="360" w:lineRule="auto"/>
      </w:pPr>
      <w:r>
        <w:rPr>
          <w:color w:val="2C2C2C"/>
        </w:rPr>
        <w:t xml:space="preserve">Merkle Batch Inscription: The primary operational inscription. Contains a Merkle root covering a batch of commercial event hashes, the batch count, the </w:t>
      </w:r>
      <w:r>
        <w:rPr>
          <w:color w:val="2C2C2C"/>
        </w:rPr>
        <w:lastRenderedPageBreak/>
        <w:t>timestamp range, and a back-reference to the previous batch inscription for chain linkage.</w:t>
      </w:r>
    </w:p>
    <w:p w14:paraId="0029BB55" w14:textId="77777777" w:rsidR="00C54027" w:rsidRDefault="00424ADE">
      <w:pPr>
        <w:pStyle w:val="ListParagraph"/>
        <w:numPr>
          <w:ilvl w:val="0"/>
          <w:numId w:val="7"/>
        </w:numPr>
        <w:spacing w:after="120" w:line="360" w:lineRule="auto"/>
      </w:pPr>
      <w:r>
        <w:rPr>
          <w:color w:val="2C2C2C"/>
        </w:rPr>
        <w:t>Revocation Inscription: Permanently marks a namespace or specific inscription as revoked. Revocations are themselves inscribed and cannot be undone.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42CA" w14:paraId="7CE4C93D" w14:textId="77777777">
        <w:tblPrEx>
          <w:tblCellMar>
            <w:top w:w="0" w:type="dxa"/>
            <w:bottom w:w="0" w:type="dxa"/>
          </w:tblCellMar>
        </w:tblPrEx>
        <w:tc>
          <w:tcPr>
            <w:tcW w:w="9360" w:type="dxa"/>
            <w:shd w:val="clear" w:color="auto" w:fill="F5F7FA"/>
            <w:tcMar>
              <w:top w:w="200" w:type="dxa"/>
              <w:left w:w="200" w:type="dxa"/>
              <w:bottom w:w="200" w:type="dxa"/>
              <w:right w:w="200" w:type="dxa"/>
            </w:tcMar>
          </w:tcPr>
          <w:p w14:paraId="5C04638D" w14:textId="77777777" w:rsidR="00C54027" w:rsidRDefault="00424ADE">
            <w:pPr>
              <w:spacing w:after="120"/>
              <w:jc w:val="center"/>
            </w:pPr>
            <w:r>
              <w:rPr>
                <w:i/>
                <w:iCs/>
                <w:color w:val="555555"/>
                <w:sz w:val="22"/>
                <w:szCs w:val="22"/>
              </w:rPr>
              <w:t>[FIG. 5</w:t>
            </w:r>
            <w:proofErr w:type="gramStart"/>
            <w:r>
              <w:rPr>
                <w:i/>
                <w:iCs/>
                <w:color w:val="555555"/>
                <w:sz w:val="22"/>
                <w:szCs w:val="22"/>
              </w:rPr>
              <w:t>: .</w:t>
            </w:r>
            <w:proofErr w:type="spellStart"/>
            <w:r>
              <w:rPr>
                <w:i/>
                <w:iCs/>
                <w:color w:val="555555"/>
                <w:sz w:val="22"/>
                <w:szCs w:val="22"/>
              </w:rPr>
              <w:t>jeffe</w:t>
            </w:r>
            <w:proofErr w:type="spellEnd"/>
            <w:proofErr w:type="gramEnd"/>
            <w:r>
              <w:rPr>
                <w:i/>
                <w:iCs/>
                <w:color w:val="555555"/>
                <w:sz w:val="22"/>
                <w:szCs w:val="22"/>
              </w:rPr>
              <w:t xml:space="preserve"> Namespace Lifecycle]</w:t>
            </w:r>
          </w:p>
          <w:p w14:paraId="2F6BF07E" w14:textId="77777777" w:rsidR="00C54027" w:rsidRDefault="00424ADE">
            <w:pPr>
              <w:jc w:val="center"/>
            </w:pPr>
            <w:r>
              <w:rPr>
                <w:color w:val="555555"/>
                <w:sz w:val="20"/>
                <w:szCs w:val="20"/>
              </w:rPr>
              <w:t>Genesis → Namespace Registration → Operational Batches → Optional Revocation</w:t>
            </w:r>
          </w:p>
        </w:tc>
      </w:tr>
    </w:tbl>
    <w:p w14:paraId="239CA2E7" w14:textId="77777777" w:rsidR="00C54027" w:rsidRDefault="00424ADE">
      <w:pPr>
        <w:spacing w:before="80" w:after="300"/>
        <w:jc w:val="center"/>
      </w:pPr>
      <w:r>
        <w:rPr>
          <w:b/>
          <w:bCs/>
          <w:color w:val="555555"/>
          <w:sz w:val="20"/>
          <w:szCs w:val="20"/>
        </w:rPr>
        <w:t xml:space="preserve">Figure 5. </w:t>
      </w:r>
      <w:r>
        <w:rPr>
          <w:i/>
          <w:iCs/>
          <w:color w:val="555555"/>
          <w:sz w:val="20"/>
          <w:szCs w:val="20"/>
        </w:rPr>
        <w:t>FIG. 5</w:t>
      </w:r>
      <w:proofErr w:type="gramStart"/>
      <w:r>
        <w:rPr>
          <w:i/>
          <w:iCs/>
          <w:color w:val="555555"/>
          <w:sz w:val="20"/>
          <w:szCs w:val="20"/>
        </w:rPr>
        <w:t>: .</w:t>
      </w:r>
      <w:proofErr w:type="spellStart"/>
      <w:r>
        <w:rPr>
          <w:i/>
          <w:iCs/>
          <w:color w:val="555555"/>
          <w:sz w:val="20"/>
          <w:szCs w:val="20"/>
        </w:rPr>
        <w:t>jeffe</w:t>
      </w:r>
      <w:proofErr w:type="spellEnd"/>
      <w:proofErr w:type="gramEnd"/>
      <w:r>
        <w:rPr>
          <w:i/>
          <w:iCs/>
          <w:color w:val="555555"/>
          <w:sz w:val="20"/>
          <w:szCs w:val="20"/>
        </w:rPr>
        <w:t xml:space="preserve"> Namespace Lifecycle</w:t>
      </w:r>
    </w:p>
    <w:p w14:paraId="4B224CA9" w14:textId="77777777" w:rsidR="00C54027" w:rsidRDefault="00424ADE">
      <w:pPr>
        <w:spacing w:after="200" w:line="360" w:lineRule="auto"/>
        <w:jc w:val="both"/>
      </w:pPr>
      <w:r>
        <w:rPr>
          <w:color w:val="2C2C2C"/>
        </w:rPr>
        <w:t>Each inscription is self-describing: it contains all metadata required for independent verification without reference to any external system. A verifier needs only the Bitcoin time chain and the public key from the genesis inscription to validate any subsequent inscription in the chain.</w:t>
      </w:r>
    </w:p>
    <w:p w14:paraId="7DE3D9F0" w14:textId="77777777" w:rsidR="00C54027" w:rsidRDefault="00424ADE">
      <w:pPr>
        <w:pStyle w:val="Heading2"/>
      </w:pPr>
      <w:bookmarkStart w:id="14" w:name="_Toc223417804"/>
      <w:r>
        <w:t>11. Transaction Data Flow</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42CA" w14:paraId="2C61D111" w14:textId="77777777">
        <w:tblPrEx>
          <w:tblCellMar>
            <w:top w:w="0" w:type="dxa"/>
            <w:bottom w:w="0" w:type="dxa"/>
          </w:tblCellMar>
        </w:tblPrEx>
        <w:tc>
          <w:tcPr>
            <w:tcW w:w="9360" w:type="dxa"/>
            <w:shd w:val="clear" w:color="auto" w:fill="F5F7FA"/>
            <w:tcMar>
              <w:top w:w="200" w:type="dxa"/>
              <w:left w:w="200" w:type="dxa"/>
              <w:bottom w:w="200" w:type="dxa"/>
              <w:right w:w="200" w:type="dxa"/>
            </w:tcMar>
          </w:tcPr>
          <w:p w14:paraId="292CD7A1" w14:textId="77777777" w:rsidR="00C54027" w:rsidRDefault="00424ADE">
            <w:pPr>
              <w:spacing w:after="120"/>
              <w:jc w:val="center"/>
            </w:pPr>
            <w:r>
              <w:rPr>
                <w:i/>
                <w:iCs/>
                <w:color w:val="555555"/>
                <w:sz w:val="22"/>
                <w:szCs w:val="22"/>
              </w:rPr>
              <w:t>[FIG. 2: Single Transaction Data Flow]</w:t>
            </w:r>
          </w:p>
          <w:p w14:paraId="385916AD" w14:textId="77777777" w:rsidR="00C54027" w:rsidRDefault="00424ADE">
            <w:pPr>
              <w:jc w:val="center"/>
            </w:pPr>
            <w:r>
              <w:rPr>
                <w:color w:val="555555"/>
                <w:sz w:val="20"/>
                <w:szCs w:val="20"/>
              </w:rPr>
              <w:t>Merchant POS event → API Gateway hash → Queue → TSP fan-out → Three stores → Bitcoin</w:t>
            </w:r>
          </w:p>
        </w:tc>
      </w:tr>
    </w:tbl>
    <w:p w14:paraId="2724C1DC" w14:textId="77777777" w:rsidR="00C54027" w:rsidRDefault="00424ADE">
      <w:pPr>
        <w:spacing w:before="80" w:after="300"/>
        <w:jc w:val="center"/>
      </w:pPr>
      <w:r>
        <w:rPr>
          <w:b/>
          <w:bCs/>
          <w:color w:val="555555"/>
          <w:sz w:val="20"/>
          <w:szCs w:val="20"/>
        </w:rPr>
        <w:t xml:space="preserve">Figure 2. </w:t>
      </w:r>
      <w:r>
        <w:rPr>
          <w:i/>
          <w:iCs/>
          <w:color w:val="555555"/>
          <w:sz w:val="20"/>
          <w:szCs w:val="20"/>
        </w:rPr>
        <w:t>FIG. 2: Single Transaction Data Flow</w:t>
      </w:r>
    </w:p>
    <w:p w14:paraId="482DE9E4" w14:textId="77777777" w:rsidR="00C54027" w:rsidRDefault="00424ADE">
      <w:pPr>
        <w:spacing w:after="200" w:line="360" w:lineRule="auto"/>
        <w:jc w:val="both"/>
      </w:pPr>
      <w:r>
        <w:rPr>
          <w:color w:val="2C2C2C"/>
        </w:rPr>
        <w:t>The complete data flow for a single commercial event proceeds as follows. A transaction occurs at a merchant point-of-sale terminal. The payment processor (Square, in the case study) generates a webhook notification. The API gateway receives the webhook, generates a SHA-256 hash of the event payload with a nanosecond timestamp, and publishes the hashed event to the message queue. The Triple Subscriber Pattern consumes the message: Subscriber 1 seals it to the evidence store, Subscriber 2 parses it to the application database, and Subscriber 3 adds its hash to the current Merkle batch. When the batch threshold is reached, the Merkle root is inscribed on Bitcoin. The entire process is invisible to the merchant.</w:t>
      </w:r>
    </w:p>
    <w:p w14:paraId="2472A8EB" w14:textId="77777777" w:rsidR="00C54027" w:rsidRDefault="00424ADE">
      <w:pPr>
        <w:pStyle w:val="Heading2"/>
      </w:pPr>
      <w:bookmarkStart w:id="15" w:name="_Toc223417805"/>
      <w:r>
        <w:t>12. Rebuild and Recovery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42CA" w14:paraId="3417FDD7" w14:textId="77777777">
        <w:tblPrEx>
          <w:tblCellMar>
            <w:top w:w="0" w:type="dxa"/>
            <w:bottom w:w="0" w:type="dxa"/>
          </w:tblCellMar>
        </w:tblPrEx>
        <w:tc>
          <w:tcPr>
            <w:tcW w:w="9360" w:type="dxa"/>
            <w:shd w:val="clear" w:color="auto" w:fill="F5F7FA"/>
            <w:tcMar>
              <w:top w:w="200" w:type="dxa"/>
              <w:left w:w="200" w:type="dxa"/>
              <w:bottom w:w="200" w:type="dxa"/>
              <w:right w:w="200" w:type="dxa"/>
            </w:tcMar>
          </w:tcPr>
          <w:p w14:paraId="5DC71816" w14:textId="77777777" w:rsidR="00C54027" w:rsidRDefault="00424ADE">
            <w:pPr>
              <w:spacing w:after="120"/>
              <w:jc w:val="center"/>
            </w:pPr>
            <w:r>
              <w:rPr>
                <w:i/>
                <w:iCs/>
                <w:color w:val="555555"/>
                <w:sz w:val="22"/>
                <w:szCs w:val="22"/>
              </w:rPr>
              <w:lastRenderedPageBreak/>
              <w:t>[FIG. 6: Rebuild and Recovery Path]</w:t>
            </w:r>
          </w:p>
          <w:p w14:paraId="39F3E03B" w14:textId="77777777" w:rsidR="00C54027" w:rsidRDefault="00424ADE">
            <w:pPr>
              <w:jc w:val="center"/>
            </w:pPr>
            <w:r>
              <w:rPr>
                <w:color w:val="555555"/>
                <w:sz w:val="20"/>
                <w:szCs w:val="20"/>
              </w:rPr>
              <w:t>Bitcoin → Merkle verification → Evidence store reconstruction → Application replay</w:t>
            </w:r>
          </w:p>
        </w:tc>
      </w:tr>
    </w:tbl>
    <w:p w14:paraId="54CC369D" w14:textId="77777777" w:rsidR="00C54027" w:rsidRDefault="00424ADE">
      <w:pPr>
        <w:spacing w:before="80" w:after="300"/>
        <w:jc w:val="center"/>
      </w:pPr>
      <w:r>
        <w:rPr>
          <w:b/>
          <w:bCs/>
          <w:color w:val="555555"/>
          <w:sz w:val="20"/>
          <w:szCs w:val="20"/>
        </w:rPr>
        <w:t xml:space="preserve">Figure 6. </w:t>
      </w:r>
      <w:r>
        <w:rPr>
          <w:i/>
          <w:iCs/>
          <w:color w:val="555555"/>
          <w:sz w:val="20"/>
          <w:szCs w:val="20"/>
        </w:rPr>
        <w:t>FIG. 6: Rebuild and Recovery Path</w:t>
      </w:r>
    </w:p>
    <w:p w14:paraId="3957FF40" w14:textId="77777777" w:rsidR="00C54027" w:rsidRDefault="00424ADE">
      <w:pPr>
        <w:spacing w:after="200" w:line="360" w:lineRule="auto"/>
        <w:jc w:val="both"/>
      </w:pPr>
      <w:r>
        <w:rPr>
          <w:color w:val="2C2C2C"/>
        </w:rPr>
        <w:t>The architecture supports full-state recovery from the Bitcoin time chain. In the catastrophic scenario where all application infrastructure is lost, the recovery path proceeds in three stages: first, the Bitcoin time chain provides the complete set of Merkle roots with timestamps, establishing the integrity boundary. Second, if the evidence store is available (even from backup), each sealed record can be verified against its Merkle root. Third, the application store can be fully reconstructed by replaying verified evidence records through the parse pipeline. This recovery capability is the practical expression of the sovereignty thesis: the merchant's data survives the destruction of the platform that generated it.</w:t>
      </w:r>
    </w:p>
    <w:p w14:paraId="7FE80866" w14:textId="77777777" w:rsidR="00C54027" w:rsidRDefault="00424ADE">
      <w:pPr>
        <w:pStyle w:val="Heading1"/>
        <w:pageBreakBefore/>
      </w:pPr>
      <w:bookmarkStart w:id="16" w:name="_Toc223417806"/>
      <w:r>
        <w:lastRenderedPageBreak/>
        <w:t>Part C: Case Study — Canary LP</w:t>
      </w:r>
      <w:bookmarkEnd w:id="16"/>
    </w:p>
    <w:p w14:paraId="03971C35" w14:textId="77777777" w:rsidR="00C54027" w:rsidRDefault="00424ADE">
      <w:pPr>
        <w:pStyle w:val="Heading2"/>
      </w:pPr>
      <w:bookmarkStart w:id="17" w:name="_Toc223417807"/>
      <w:r>
        <w:t>13. Implementation Context</w:t>
      </w:r>
      <w:bookmarkEnd w:id="17"/>
    </w:p>
    <w:p w14:paraId="5721C6FD" w14:textId="77777777" w:rsidR="00C54027" w:rsidRDefault="00424ADE">
      <w:pPr>
        <w:spacing w:after="200" w:line="360" w:lineRule="auto"/>
        <w:jc w:val="both"/>
      </w:pPr>
      <w:r>
        <w:rPr>
          <w:color w:val="2C2C2C"/>
        </w:rPr>
        <w:t xml:space="preserve">Canary LP is an AI-powered loss prevention platform for </w:t>
      </w:r>
      <w:proofErr w:type="gramStart"/>
      <w:r>
        <w:rPr>
          <w:color w:val="2C2C2C"/>
        </w:rPr>
        <w:t>Square</w:t>
      </w:r>
      <w:proofErr w:type="gramEnd"/>
      <w:r>
        <w:rPr>
          <w:color w:val="2C2C2C"/>
        </w:rPr>
        <w:t xml:space="preserve"> merchants, currently under active development as the first production implementation of the architecture described in this paper. The platform integrates with the </w:t>
      </w:r>
      <w:proofErr w:type="gramStart"/>
      <w:r>
        <w:rPr>
          <w:color w:val="2C2C2C"/>
        </w:rPr>
        <w:t>Square</w:t>
      </w:r>
      <w:proofErr w:type="gramEnd"/>
      <w:r>
        <w:rPr>
          <w:color w:val="2C2C2C"/>
        </w:rPr>
        <w:t xml:space="preserve"> ecosystem through official APIs and webhooks, providing real-time transaction monitoring, anomaly detection, and cryptographic evidence preservation.</w:t>
      </w:r>
    </w:p>
    <w:p w14:paraId="45DBB86B" w14:textId="77777777" w:rsidR="00C54027" w:rsidRDefault="00424ADE">
      <w:pPr>
        <w:spacing w:after="200" w:line="360" w:lineRule="auto"/>
        <w:jc w:val="both"/>
      </w:pPr>
      <w:r>
        <w:rPr>
          <w:color w:val="2C2C2C"/>
        </w:rPr>
        <w:t>The implementation operates against a frozen specification of 27 features and 174 acceptance criteria, enforced through a formal QA process with mandatory sign-off before any feature is considered complete. The specification freeze ensures that the evaluation of the architecture occurs against a fixed, auditable set of requirements rather than a moving target.</w:t>
      </w:r>
    </w:p>
    <w:p w14:paraId="193EB8EA" w14:textId="77777777" w:rsidR="00C54027" w:rsidRDefault="00424ADE">
      <w:pPr>
        <w:pStyle w:val="Heading2"/>
      </w:pPr>
      <w:bookmarkStart w:id="18" w:name="_Toc223417808"/>
      <w:r>
        <w:t>14. The Canary Retail Data Model (CRDM)</w:t>
      </w:r>
      <w:bookmarkEnd w:id="18"/>
    </w:p>
    <w:p w14:paraId="1648ACE5" w14:textId="77777777" w:rsidR="00C54027" w:rsidRDefault="00424ADE">
      <w:pPr>
        <w:spacing w:after="200" w:line="360" w:lineRule="auto"/>
        <w:jc w:val="both"/>
      </w:pPr>
      <w:r>
        <w:rPr>
          <w:color w:val="2C2C2C"/>
        </w:rPr>
        <w:t>The data architecture implements a three-database PostgreSQL topology:</w:t>
      </w:r>
    </w:p>
    <w:p w14:paraId="7D1D9665" w14:textId="77777777" w:rsidR="00C54027" w:rsidRDefault="00424ADE">
      <w:pPr>
        <w:pStyle w:val="ListParagraph"/>
        <w:numPr>
          <w:ilvl w:val="0"/>
          <w:numId w:val="2"/>
        </w:numPr>
        <w:spacing w:after="120" w:line="360" w:lineRule="auto"/>
      </w:pPr>
      <w:proofErr w:type="spellStart"/>
      <w:r>
        <w:rPr>
          <w:color w:val="2C2C2C"/>
        </w:rPr>
        <w:t>canary_app</w:t>
      </w:r>
      <w:proofErr w:type="spellEnd"/>
      <w:r>
        <w:rPr>
          <w:color w:val="2C2C2C"/>
        </w:rPr>
        <w:t>: Authentication, merchant profiles, alerts, Fox investigation cases, and the immutable audit log. This database holds all identity and access control data.</w:t>
      </w:r>
    </w:p>
    <w:p w14:paraId="731F8C49" w14:textId="77777777" w:rsidR="00C54027" w:rsidRDefault="00424ADE">
      <w:pPr>
        <w:pStyle w:val="ListParagraph"/>
        <w:numPr>
          <w:ilvl w:val="0"/>
          <w:numId w:val="2"/>
        </w:numPr>
        <w:spacing w:after="120" w:line="360" w:lineRule="auto"/>
      </w:pPr>
      <w:proofErr w:type="spellStart"/>
      <w:r>
        <w:rPr>
          <w:color w:val="2C2C2C"/>
        </w:rPr>
        <w:t>canary_sales</w:t>
      </w:r>
      <w:proofErr w:type="spellEnd"/>
      <w:r>
        <w:rPr>
          <w:color w:val="2C2C2C"/>
        </w:rPr>
        <w:t>: Transaction records, refund tracking, cash drawer events, gift card operations, and loyalty program data. This database mirrors the commercial event stream from Square with local enrichment.</w:t>
      </w:r>
    </w:p>
    <w:p w14:paraId="1C55C66E" w14:textId="77777777" w:rsidR="00C54027" w:rsidRDefault="00424ADE">
      <w:pPr>
        <w:pStyle w:val="ListParagraph"/>
        <w:numPr>
          <w:ilvl w:val="0"/>
          <w:numId w:val="2"/>
        </w:numPr>
        <w:spacing w:after="120" w:line="360" w:lineRule="auto"/>
      </w:pPr>
      <w:proofErr w:type="spellStart"/>
      <w:r>
        <w:rPr>
          <w:color w:val="2C2C2C"/>
        </w:rPr>
        <w:t>canary_metrics</w:t>
      </w:r>
      <w:proofErr w:type="spellEnd"/>
      <w:r>
        <w:rPr>
          <w:color w:val="2C2C2C"/>
        </w:rPr>
        <w:t>: Analytics star schema, machine learning feature store, merchant scorecards, and time-series aggregations. This database supports the anomaly detection and reporting layers.</w:t>
      </w:r>
    </w:p>
    <w:p w14:paraId="21AA31D2" w14:textId="77777777" w:rsidR="00C54027" w:rsidRDefault="00424ADE">
      <w:pPr>
        <w:spacing w:after="200" w:line="360" w:lineRule="auto"/>
        <w:jc w:val="both"/>
      </w:pPr>
      <w:r>
        <w:rPr>
          <w:color w:val="2C2C2C"/>
        </w:rPr>
        <w:t xml:space="preserve">The three-database separation provides per-merchant partition isolation, independent backup and recovery granularity, and clear audit boundaries. Each database uses </w:t>
      </w:r>
      <w:proofErr w:type="spellStart"/>
      <w:r>
        <w:rPr>
          <w:color w:val="2C2C2C"/>
        </w:rPr>
        <w:t>SQLAlchemy</w:t>
      </w:r>
      <w:proofErr w:type="spellEnd"/>
      <w:r>
        <w:rPr>
          <w:color w:val="2C2C2C"/>
        </w:rPr>
        <w:t xml:space="preserve"> 2.0 with the </w:t>
      </w:r>
      <w:proofErr w:type="gramStart"/>
      <w:r>
        <w:rPr>
          <w:color w:val="2C2C2C"/>
        </w:rPr>
        <w:t>Mapped[</w:t>
      </w:r>
      <w:proofErr w:type="gramEnd"/>
      <w:r>
        <w:rPr>
          <w:color w:val="2C2C2C"/>
        </w:rPr>
        <w:t xml:space="preserve">] type annotation syntax for schema definition, and all </w:t>
      </w:r>
      <w:r>
        <w:rPr>
          <w:color w:val="2C2C2C"/>
        </w:rPr>
        <w:lastRenderedPageBreak/>
        <w:t>schema migrations are managed through Alembic with independent migration chains per database.</w:t>
      </w:r>
    </w:p>
    <w:p w14:paraId="1946002F" w14:textId="77777777" w:rsidR="00C54027" w:rsidRDefault="00424ADE">
      <w:pPr>
        <w:spacing w:after="200" w:line="360" w:lineRule="auto"/>
        <w:jc w:val="both"/>
      </w:pPr>
      <w:r>
        <w:rPr>
          <w:color w:val="2C2C2C"/>
        </w:rPr>
        <w:t>Data integrity is enforced at the database level through PostgreSQL triggers that prevent UPDATE and DELETE operations on immutable tables. Corrections to immutable records are handled through compensating INSERT operations that reference the original record, creating a complete, append-only audit trail.</w:t>
      </w:r>
    </w:p>
    <w:p w14:paraId="2D81DC13" w14:textId="77777777" w:rsidR="00C54027" w:rsidRDefault="00424ADE">
      <w:pPr>
        <w:pStyle w:val="Heading2"/>
      </w:pPr>
      <w:bookmarkStart w:id="19" w:name="_Toc223417809"/>
      <w:r>
        <w:t>15. Technology Stack</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E42CA" w14:paraId="06AA1626" w14:textId="77777777">
        <w:tblPrEx>
          <w:tblCellMar>
            <w:top w:w="0" w:type="dxa"/>
            <w:bottom w:w="0" w:type="dxa"/>
          </w:tblCellMar>
        </w:tblPrEx>
        <w:tc>
          <w:tcPr>
            <w:tcW w:w="3120" w:type="dxa"/>
            <w:shd w:val="clear" w:color="auto" w:fill="1B3A5C"/>
            <w:tcMar>
              <w:top w:w="80" w:type="dxa"/>
              <w:left w:w="120" w:type="dxa"/>
              <w:bottom w:w="80" w:type="dxa"/>
              <w:right w:w="120" w:type="dxa"/>
            </w:tcMar>
          </w:tcPr>
          <w:p w14:paraId="69E485F0" w14:textId="77777777" w:rsidR="00C54027" w:rsidRDefault="00424ADE">
            <w:r>
              <w:rPr>
                <w:b/>
                <w:bCs/>
                <w:color w:val="FFFFFF"/>
                <w:sz w:val="22"/>
                <w:szCs w:val="22"/>
              </w:rPr>
              <w:t>Layer</w:t>
            </w:r>
          </w:p>
        </w:tc>
        <w:tc>
          <w:tcPr>
            <w:tcW w:w="6240" w:type="dxa"/>
            <w:shd w:val="clear" w:color="auto" w:fill="1B3A5C"/>
            <w:tcMar>
              <w:top w:w="80" w:type="dxa"/>
              <w:left w:w="120" w:type="dxa"/>
              <w:bottom w:w="80" w:type="dxa"/>
              <w:right w:w="120" w:type="dxa"/>
            </w:tcMar>
          </w:tcPr>
          <w:p w14:paraId="7EF33B80" w14:textId="77777777" w:rsidR="00C54027" w:rsidRDefault="00424ADE">
            <w:r>
              <w:rPr>
                <w:b/>
                <w:bCs/>
                <w:color w:val="FFFFFF"/>
                <w:sz w:val="22"/>
                <w:szCs w:val="22"/>
              </w:rPr>
              <w:t>Technology</w:t>
            </w:r>
          </w:p>
        </w:tc>
      </w:tr>
      <w:tr w:rsidR="004E42CA" w14:paraId="61996954" w14:textId="77777777">
        <w:tblPrEx>
          <w:tblCellMar>
            <w:top w:w="0" w:type="dxa"/>
            <w:bottom w:w="0" w:type="dxa"/>
          </w:tblCellMar>
        </w:tblPrEx>
        <w:tc>
          <w:tcPr>
            <w:tcW w:w="3120" w:type="dxa"/>
            <w:shd w:val="clear" w:color="auto" w:fill="F5F7FA"/>
            <w:tcMar>
              <w:top w:w="80" w:type="dxa"/>
              <w:left w:w="120" w:type="dxa"/>
              <w:bottom w:w="80" w:type="dxa"/>
              <w:right w:w="120" w:type="dxa"/>
            </w:tcMar>
          </w:tcPr>
          <w:p w14:paraId="7E971231" w14:textId="77777777" w:rsidR="00C54027" w:rsidRDefault="00424ADE">
            <w:r>
              <w:rPr>
                <w:color w:val="2C2C2C"/>
                <w:sz w:val="22"/>
                <w:szCs w:val="22"/>
              </w:rPr>
              <w:t>Runtime</w:t>
            </w:r>
          </w:p>
        </w:tc>
        <w:tc>
          <w:tcPr>
            <w:tcW w:w="6240" w:type="dxa"/>
            <w:shd w:val="clear" w:color="auto" w:fill="F5F7FA"/>
            <w:tcMar>
              <w:top w:w="80" w:type="dxa"/>
              <w:left w:w="120" w:type="dxa"/>
              <w:bottom w:w="80" w:type="dxa"/>
              <w:right w:w="120" w:type="dxa"/>
            </w:tcMar>
          </w:tcPr>
          <w:p w14:paraId="04A1E2AE" w14:textId="77777777" w:rsidR="00C54027" w:rsidRDefault="00424ADE">
            <w:r>
              <w:rPr>
                <w:color w:val="2C2C2C"/>
                <w:sz w:val="22"/>
                <w:szCs w:val="22"/>
              </w:rPr>
              <w:t>Python 3.11+, Flask</w:t>
            </w:r>
          </w:p>
        </w:tc>
      </w:tr>
      <w:tr w:rsidR="004E42CA" w14:paraId="78D8E8B9" w14:textId="77777777">
        <w:tblPrEx>
          <w:tblCellMar>
            <w:top w:w="0" w:type="dxa"/>
            <w:bottom w:w="0" w:type="dxa"/>
          </w:tblCellMar>
        </w:tblPrEx>
        <w:tc>
          <w:tcPr>
            <w:tcW w:w="3120" w:type="dxa"/>
            <w:tcMar>
              <w:top w:w="80" w:type="dxa"/>
              <w:left w:w="120" w:type="dxa"/>
              <w:bottom w:w="80" w:type="dxa"/>
              <w:right w:w="120" w:type="dxa"/>
            </w:tcMar>
          </w:tcPr>
          <w:p w14:paraId="010275AE" w14:textId="77777777" w:rsidR="00C54027" w:rsidRDefault="00424ADE">
            <w:r>
              <w:rPr>
                <w:color w:val="2C2C2C"/>
                <w:sz w:val="22"/>
                <w:szCs w:val="22"/>
              </w:rPr>
              <w:t>ORM / SQL</w:t>
            </w:r>
          </w:p>
        </w:tc>
        <w:tc>
          <w:tcPr>
            <w:tcW w:w="6240" w:type="dxa"/>
            <w:tcMar>
              <w:top w:w="80" w:type="dxa"/>
              <w:left w:w="120" w:type="dxa"/>
              <w:bottom w:w="80" w:type="dxa"/>
              <w:right w:w="120" w:type="dxa"/>
            </w:tcMar>
          </w:tcPr>
          <w:p w14:paraId="56693F72" w14:textId="77777777" w:rsidR="00C54027" w:rsidRDefault="00424ADE">
            <w:proofErr w:type="spellStart"/>
            <w:r>
              <w:rPr>
                <w:color w:val="2C2C2C"/>
                <w:sz w:val="22"/>
                <w:szCs w:val="22"/>
              </w:rPr>
              <w:t>SQLAlchemy</w:t>
            </w:r>
            <w:proofErr w:type="spellEnd"/>
            <w:r>
              <w:rPr>
                <w:color w:val="2C2C2C"/>
                <w:sz w:val="22"/>
                <w:szCs w:val="22"/>
              </w:rPr>
              <w:t xml:space="preserve"> 2.0 (</w:t>
            </w:r>
            <w:proofErr w:type="gramStart"/>
            <w:r>
              <w:rPr>
                <w:color w:val="2C2C2C"/>
                <w:sz w:val="22"/>
                <w:szCs w:val="22"/>
              </w:rPr>
              <w:t>Mapped[</w:t>
            </w:r>
            <w:proofErr w:type="gramEnd"/>
            <w:r>
              <w:rPr>
                <w:color w:val="2C2C2C"/>
                <w:sz w:val="22"/>
                <w:szCs w:val="22"/>
              </w:rPr>
              <w:t>]), psycopg2 (raw SQL)</w:t>
            </w:r>
          </w:p>
        </w:tc>
      </w:tr>
      <w:tr w:rsidR="004E42CA" w14:paraId="1FAF4504" w14:textId="77777777">
        <w:tblPrEx>
          <w:tblCellMar>
            <w:top w:w="0" w:type="dxa"/>
            <w:bottom w:w="0" w:type="dxa"/>
          </w:tblCellMar>
        </w:tblPrEx>
        <w:tc>
          <w:tcPr>
            <w:tcW w:w="3120" w:type="dxa"/>
            <w:shd w:val="clear" w:color="auto" w:fill="F5F7FA"/>
            <w:tcMar>
              <w:top w:w="80" w:type="dxa"/>
              <w:left w:w="120" w:type="dxa"/>
              <w:bottom w:w="80" w:type="dxa"/>
              <w:right w:w="120" w:type="dxa"/>
            </w:tcMar>
          </w:tcPr>
          <w:p w14:paraId="7279518D" w14:textId="77777777" w:rsidR="00C54027" w:rsidRDefault="00424ADE">
            <w:r>
              <w:rPr>
                <w:color w:val="2C2C2C"/>
                <w:sz w:val="22"/>
                <w:szCs w:val="22"/>
              </w:rPr>
              <w:t>Database</w:t>
            </w:r>
          </w:p>
        </w:tc>
        <w:tc>
          <w:tcPr>
            <w:tcW w:w="6240" w:type="dxa"/>
            <w:shd w:val="clear" w:color="auto" w:fill="F5F7FA"/>
            <w:tcMar>
              <w:top w:w="80" w:type="dxa"/>
              <w:left w:w="120" w:type="dxa"/>
              <w:bottom w:w="80" w:type="dxa"/>
              <w:right w:w="120" w:type="dxa"/>
            </w:tcMar>
          </w:tcPr>
          <w:p w14:paraId="333A77F3" w14:textId="77777777" w:rsidR="00C54027" w:rsidRDefault="00424ADE">
            <w:r>
              <w:rPr>
                <w:color w:val="2C2C2C"/>
                <w:sz w:val="22"/>
                <w:szCs w:val="22"/>
              </w:rPr>
              <w:t>PostgreSQL 17 (3 databases)</w:t>
            </w:r>
          </w:p>
        </w:tc>
      </w:tr>
      <w:tr w:rsidR="004E42CA" w14:paraId="2EDA6B96" w14:textId="77777777">
        <w:tblPrEx>
          <w:tblCellMar>
            <w:top w:w="0" w:type="dxa"/>
            <w:bottom w:w="0" w:type="dxa"/>
          </w:tblCellMar>
        </w:tblPrEx>
        <w:tc>
          <w:tcPr>
            <w:tcW w:w="3120" w:type="dxa"/>
            <w:tcMar>
              <w:top w:w="80" w:type="dxa"/>
              <w:left w:w="120" w:type="dxa"/>
              <w:bottom w:w="80" w:type="dxa"/>
              <w:right w:w="120" w:type="dxa"/>
            </w:tcMar>
          </w:tcPr>
          <w:p w14:paraId="73C6A220" w14:textId="77777777" w:rsidR="00C54027" w:rsidRDefault="00424ADE">
            <w:r>
              <w:rPr>
                <w:color w:val="2C2C2C"/>
                <w:sz w:val="22"/>
                <w:szCs w:val="22"/>
              </w:rPr>
              <w:t>Cache / Queue</w:t>
            </w:r>
          </w:p>
        </w:tc>
        <w:tc>
          <w:tcPr>
            <w:tcW w:w="6240" w:type="dxa"/>
            <w:tcMar>
              <w:top w:w="80" w:type="dxa"/>
              <w:left w:w="120" w:type="dxa"/>
              <w:bottom w:w="80" w:type="dxa"/>
              <w:right w:w="120" w:type="dxa"/>
            </w:tcMar>
          </w:tcPr>
          <w:p w14:paraId="264698CB" w14:textId="77777777" w:rsidR="00C54027" w:rsidRDefault="00424ADE">
            <w:proofErr w:type="spellStart"/>
            <w:r>
              <w:rPr>
                <w:color w:val="2C2C2C"/>
                <w:sz w:val="22"/>
                <w:szCs w:val="22"/>
              </w:rPr>
              <w:t>Valkey</w:t>
            </w:r>
            <w:proofErr w:type="spellEnd"/>
            <w:r>
              <w:rPr>
                <w:color w:val="2C2C2C"/>
                <w:sz w:val="22"/>
                <w:szCs w:val="22"/>
              </w:rPr>
              <w:t xml:space="preserve"> (Redis-compatible)</w:t>
            </w:r>
          </w:p>
        </w:tc>
      </w:tr>
      <w:tr w:rsidR="004E42CA" w14:paraId="10356B7C" w14:textId="77777777">
        <w:tblPrEx>
          <w:tblCellMar>
            <w:top w:w="0" w:type="dxa"/>
            <w:bottom w:w="0" w:type="dxa"/>
          </w:tblCellMar>
        </w:tblPrEx>
        <w:tc>
          <w:tcPr>
            <w:tcW w:w="3120" w:type="dxa"/>
            <w:shd w:val="clear" w:color="auto" w:fill="F5F7FA"/>
            <w:tcMar>
              <w:top w:w="80" w:type="dxa"/>
              <w:left w:w="120" w:type="dxa"/>
              <w:bottom w:w="80" w:type="dxa"/>
              <w:right w:w="120" w:type="dxa"/>
            </w:tcMar>
          </w:tcPr>
          <w:p w14:paraId="750D2B38" w14:textId="77777777" w:rsidR="00C54027" w:rsidRDefault="00424ADE">
            <w:r>
              <w:rPr>
                <w:color w:val="2C2C2C"/>
                <w:sz w:val="22"/>
                <w:szCs w:val="22"/>
              </w:rPr>
              <w:t>Auth</w:t>
            </w:r>
          </w:p>
        </w:tc>
        <w:tc>
          <w:tcPr>
            <w:tcW w:w="6240" w:type="dxa"/>
            <w:shd w:val="clear" w:color="auto" w:fill="F5F7FA"/>
            <w:tcMar>
              <w:top w:w="80" w:type="dxa"/>
              <w:left w:w="120" w:type="dxa"/>
              <w:bottom w:w="80" w:type="dxa"/>
              <w:right w:w="120" w:type="dxa"/>
            </w:tcMar>
          </w:tcPr>
          <w:p w14:paraId="153FFF5A" w14:textId="77777777" w:rsidR="00C54027" w:rsidRDefault="00424ADE">
            <w:proofErr w:type="spellStart"/>
            <w:r>
              <w:rPr>
                <w:color w:val="2C2C2C"/>
                <w:sz w:val="22"/>
                <w:szCs w:val="22"/>
              </w:rPr>
              <w:t>Keycloak</w:t>
            </w:r>
            <w:proofErr w:type="spellEnd"/>
            <w:r>
              <w:rPr>
                <w:color w:val="2C2C2C"/>
                <w:sz w:val="22"/>
                <w:szCs w:val="22"/>
              </w:rPr>
              <w:t xml:space="preserve"> (SSO, JWT, RBAC)</w:t>
            </w:r>
          </w:p>
        </w:tc>
      </w:tr>
      <w:tr w:rsidR="004E42CA" w14:paraId="17DEFFB6" w14:textId="77777777">
        <w:tblPrEx>
          <w:tblCellMar>
            <w:top w:w="0" w:type="dxa"/>
            <w:bottom w:w="0" w:type="dxa"/>
          </w:tblCellMar>
        </w:tblPrEx>
        <w:tc>
          <w:tcPr>
            <w:tcW w:w="3120" w:type="dxa"/>
            <w:tcMar>
              <w:top w:w="80" w:type="dxa"/>
              <w:left w:w="120" w:type="dxa"/>
              <w:bottom w:w="80" w:type="dxa"/>
              <w:right w:w="120" w:type="dxa"/>
            </w:tcMar>
          </w:tcPr>
          <w:p w14:paraId="09C567CB" w14:textId="77777777" w:rsidR="00C54027" w:rsidRDefault="00424ADE">
            <w:r>
              <w:rPr>
                <w:color w:val="2C2C2C"/>
                <w:sz w:val="22"/>
                <w:szCs w:val="22"/>
              </w:rPr>
              <w:t>Orchestration</w:t>
            </w:r>
          </w:p>
        </w:tc>
        <w:tc>
          <w:tcPr>
            <w:tcW w:w="6240" w:type="dxa"/>
            <w:tcMar>
              <w:top w:w="80" w:type="dxa"/>
              <w:left w:w="120" w:type="dxa"/>
              <w:bottom w:w="80" w:type="dxa"/>
              <w:right w:w="120" w:type="dxa"/>
            </w:tcMar>
          </w:tcPr>
          <w:p w14:paraId="752B8BDE" w14:textId="77777777" w:rsidR="00C54027" w:rsidRDefault="00424ADE">
            <w:r>
              <w:rPr>
                <w:color w:val="2C2C2C"/>
                <w:sz w:val="22"/>
                <w:szCs w:val="22"/>
              </w:rPr>
              <w:t>Apache Airflow</w:t>
            </w:r>
          </w:p>
        </w:tc>
      </w:tr>
      <w:tr w:rsidR="004E42CA" w14:paraId="0879CA96" w14:textId="77777777">
        <w:tblPrEx>
          <w:tblCellMar>
            <w:top w:w="0" w:type="dxa"/>
            <w:bottom w:w="0" w:type="dxa"/>
          </w:tblCellMar>
        </w:tblPrEx>
        <w:tc>
          <w:tcPr>
            <w:tcW w:w="3120" w:type="dxa"/>
            <w:shd w:val="clear" w:color="auto" w:fill="F5F7FA"/>
            <w:tcMar>
              <w:top w:w="80" w:type="dxa"/>
              <w:left w:w="120" w:type="dxa"/>
              <w:bottom w:w="80" w:type="dxa"/>
              <w:right w:w="120" w:type="dxa"/>
            </w:tcMar>
          </w:tcPr>
          <w:p w14:paraId="31A44239" w14:textId="77777777" w:rsidR="00C54027" w:rsidRDefault="00424ADE">
            <w:r>
              <w:rPr>
                <w:color w:val="2C2C2C"/>
                <w:sz w:val="22"/>
                <w:szCs w:val="22"/>
              </w:rPr>
              <w:t>Analytics</w:t>
            </w:r>
          </w:p>
        </w:tc>
        <w:tc>
          <w:tcPr>
            <w:tcW w:w="6240" w:type="dxa"/>
            <w:shd w:val="clear" w:color="auto" w:fill="F5F7FA"/>
            <w:tcMar>
              <w:top w:w="80" w:type="dxa"/>
              <w:left w:w="120" w:type="dxa"/>
              <w:bottom w:w="80" w:type="dxa"/>
              <w:right w:w="120" w:type="dxa"/>
            </w:tcMar>
          </w:tcPr>
          <w:p w14:paraId="058D5B2E" w14:textId="77777777" w:rsidR="00C54027" w:rsidRDefault="00424ADE">
            <w:r>
              <w:rPr>
                <w:color w:val="2C2C2C"/>
                <w:sz w:val="22"/>
                <w:szCs w:val="22"/>
              </w:rPr>
              <w:t>Apache Superset</w:t>
            </w:r>
          </w:p>
        </w:tc>
      </w:tr>
      <w:tr w:rsidR="004E42CA" w14:paraId="75C541A5" w14:textId="77777777">
        <w:tblPrEx>
          <w:tblCellMar>
            <w:top w:w="0" w:type="dxa"/>
            <w:bottom w:w="0" w:type="dxa"/>
          </w:tblCellMar>
        </w:tblPrEx>
        <w:tc>
          <w:tcPr>
            <w:tcW w:w="3120" w:type="dxa"/>
            <w:tcMar>
              <w:top w:w="80" w:type="dxa"/>
              <w:left w:w="120" w:type="dxa"/>
              <w:bottom w:w="80" w:type="dxa"/>
              <w:right w:w="120" w:type="dxa"/>
            </w:tcMar>
          </w:tcPr>
          <w:p w14:paraId="74B487B7" w14:textId="77777777" w:rsidR="00C54027" w:rsidRDefault="00424ADE">
            <w:r>
              <w:rPr>
                <w:color w:val="2C2C2C"/>
                <w:sz w:val="22"/>
                <w:szCs w:val="22"/>
              </w:rPr>
              <w:t>Containerization</w:t>
            </w:r>
          </w:p>
        </w:tc>
        <w:tc>
          <w:tcPr>
            <w:tcW w:w="6240" w:type="dxa"/>
            <w:tcMar>
              <w:top w:w="80" w:type="dxa"/>
              <w:left w:w="120" w:type="dxa"/>
              <w:bottom w:w="80" w:type="dxa"/>
              <w:right w:w="120" w:type="dxa"/>
            </w:tcMar>
          </w:tcPr>
          <w:p w14:paraId="4CC75B36" w14:textId="77777777" w:rsidR="00C54027" w:rsidRDefault="00424ADE">
            <w:r>
              <w:rPr>
                <w:color w:val="2C2C2C"/>
                <w:sz w:val="22"/>
                <w:szCs w:val="22"/>
              </w:rPr>
              <w:t>Docker Compose (4-environment pipeline)</w:t>
            </w:r>
          </w:p>
        </w:tc>
      </w:tr>
      <w:tr w:rsidR="004E42CA" w14:paraId="275D0DEB" w14:textId="77777777">
        <w:tblPrEx>
          <w:tblCellMar>
            <w:top w:w="0" w:type="dxa"/>
            <w:bottom w:w="0" w:type="dxa"/>
          </w:tblCellMar>
        </w:tblPrEx>
        <w:tc>
          <w:tcPr>
            <w:tcW w:w="3120" w:type="dxa"/>
            <w:shd w:val="clear" w:color="auto" w:fill="F5F7FA"/>
            <w:tcMar>
              <w:top w:w="80" w:type="dxa"/>
              <w:left w:w="120" w:type="dxa"/>
              <w:bottom w:w="80" w:type="dxa"/>
              <w:right w:w="120" w:type="dxa"/>
            </w:tcMar>
          </w:tcPr>
          <w:p w14:paraId="67DC69B1" w14:textId="77777777" w:rsidR="00C54027" w:rsidRDefault="00424ADE">
            <w:r>
              <w:rPr>
                <w:color w:val="2C2C2C"/>
                <w:sz w:val="22"/>
                <w:szCs w:val="22"/>
              </w:rPr>
              <w:t>External API</w:t>
            </w:r>
          </w:p>
        </w:tc>
        <w:tc>
          <w:tcPr>
            <w:tcW w:w="6240" w:type="dxa"/>
            <w:shd w:val="clear" w:color="auto" w:fill="F5F7FA"/>
            <w:tcMar>
              <w:top w:w="80" w:type="dxa"/>
              <w:left w:w="120" w:type="dxa"/>
              <w:bottom w:w="80" w:type="dxa"/>
              <w:right w:w="120" w:type="dxa"/>
            </w:tcMar>
          </w:tcPr>
          <w:p w14:paraId="0DCFA6DC" w14:textId="77777777" w:rsidR="00C54027" w:rsidRDefault="00424ADE">
            <w:r>
              <w:rPr>
                <w:color w:val="2C2C2C"/>
                <w:sz w:val="22"/>
                <w:szCs w:val="22"/>
              </w:rPr>
              <w:t>Square SDK (latest stable, upgrade-first policy)</w:t>
            </w:r>
          </w:p>
        </w:tc>
      </w:tr>
    </w:tbl>
    <w:p w14:paraId="44B1CCF0" w14:textId="77777777" w:rsidR="00C54027" w:rsidRDefault="00C54027">
      <w:pPr>
        <w:spacing w:after="200"/>
      </w:pPr>
    </w:p>
    <w:p w14:paraId="740FF09F" w14:textId="77777777" w:rsidR="00C54027" w:rsidRDefault="00424ADE">
      <w:pPr>
        <w:pStyle w:val="Heading2"/>
      </w:pPr>
      <w:bookmarkStart w:id="20" w:name="_Toc223417810"/>
      <w:r>
        <w:t>16. Local-First Development Philosophy</w:t>
      </w:r>
      <w:bookmarkEnd w:id="20"/>
    </w:p>
    <w:p w14:paraId="228EF102" w14:textId="77777777" w:rsidR="00C54027" w:rsidRDefault="00424ADE">
      <w:pPr>
        <w:spacing w:after="200" w:line="360" w:lineRule="auto"/>
        <w:jc w:val="both"/>
      </w:pPr>
      <w:r>
        <w:rPr>
          <w:color w:val="2C2C2C"/>
        </w:rPr>
        <w:t>A governing constraint of the implementation is a strict local-first policy: any service that can run locally must run locally. Cloud APIs require explicit spend-cap approval with no unmetered connections permitted. This constraint is not merely economic; it reflects the sovereignty thesis at the infrastructure level. The system must be operable, testable, and recoverable without dependence on any external cloud service.</w:t>
      </w:r>
    </w:p>
    <w:p w14:paraId="60C0AD1F" w14:textId="77777777" w:rsidR="00C54027" w:rsidRDefault="00424ADE">
      <w:pPr>
        <w:spacing w:after="200" w:line="360" w:lineRule="auto"/>
        <w:jc w:val="both"/>
      </w:pPr>
      <w:r>
        <w:rPr>
          <w:color w:val="2C2C2C"/>
        </w:rPr>
        <w:t xml:space="preserve">The Docker Compose stack provides a complete local development environment including PostgreSQL, </w:t>
      </w:r>
      <w:proofErr w:type="spellStart"/>
      <w:r>
        <w:rPr>
          <w:color w:val="2C2C2C"/>
        </w:rPr>
        <w:t>Valkey</w:t>
      </w:r>
      <w:proofErr w:type="spellEnd"/>
      <w:r>
        <w:rPr>
          <w:color w:val="2C2C2C"/>
        </w:rPr>
        <w:t xml:space="preserve">, </w:t>
      </w:r>
      <w:proofErr w:type="spellStart"/>
      <w:r>
        <w:rPr>
          <w:color w:val="2C2C2C"/>
        </w:rPr>
        <w:t>Keycloak</w:t>
      </w:r>
      <w:proofErr w:type="spellEnd"/>
      <w:r>
        <w:rPr>
          <w:color w:val="2C2C2C"/>
        </w:rPr>
        <w:t xml:space="preserve">, and all application services. The four-environment deployment pipeline (development, staging, QA, production) runs identically </w:t>
      </w:r>
      <w:r>
        <w:rPr>
          <w:color w:val="2C2C2C"/>
        </w:rPr>
        <w:lastRenderedPageBreak/>
        <w:t>across local hardware and cloud infrastructure, with environment parity enforced through shared configuration templates.</w:t>
      </w:r>
    </w:p>
    <w:p w14:paraId="5ABE5E78" w14:textId="77777777" w:rsidR="00C54027" w:rsidRDefault="00424ADE">
      <w:pPr>
        <w:pStyle w:val="Heading2"/>
      </w:pPr>
      <w:bookmarkStart w:id="21" w:name="_Toc223417811"/>
      <w:r>
        <w:t>17. Patent Claims and Embodiments</w:t>
      </w:r>
      <w:bookmarkEnd w:id="21"/>
    </w:p>
    <w:p w14:paraId="543B0420" w14:textId="77777777" w:rsidR="00C54027" w:rsidRDefault="00424ADE">
      <w:pPr>
        <w:spacing w:after="200" w:line="360" w:lineRule="auto"/>
        <w:jc w:val="both"/>
      </w:pPr>
      <w:r>
        <w:rPr>
          <w:color w:val="2C2C2C"/>
        </w:rPr>
        <w:t>The architecture is the subject of U.S. Provisional Patent Application No. 63/991,596, filed February 26, 2026. The application identifies five independent claims:</w:t>
      </w:r>
    </w:p>
    <w:p w14:paraId="771A13FE" w14:textId="77777777" w:rsidR="00C54027" w:rsidRDefault="00424ADE">
      <w:pPr>
        <w:pStyle w:val="ListParagraph"/>
        <w:numPr>
          <w:ilvl w:val="0"/>
          <w:numId w:val="4"/>
        </w:numPr>
        <w:spacing w:after="120" w:line="360" w:lineRule="auto"/>
      </w:pPr>
      <w:r>
        <w:rPr>
          <w:b/>
          <w:bCs/>
          <w:color w:val="2C2C2C"/>
        </w:rPr>
        <w:t xml:space="preserve">Claim 1: </w:t>
      </w:r>
      <w:r>
        <w:rPr>
          <w:color w:val="2C2C2C"/>
        </w:rPr>
        <w:t>A method for real-time commercial event hashing and immutable evidence preservation using cryptographic sealing at the point of ingestion.</w:t>
      </w:r>
    </w:p>
    <w:p w14:paraId="3E7DE558" w14:textId="77777777" w:rsidR="00C54027" w:rsidRDefault="00424ADE">
      <w:pPr>
        <w:pStyle w:val="ListParagraph"/>
        <w:numPr>
          <w:ilvl w:val="0"/>
          <w:numId w:val="4"/>
        </w:numPr>
        <w:spacing w:after="120" w:line="360" w:lineRule="auto"/>
      </w:pPr>
      <w:r>
        <w:rPr>
          <w:b/>
          <w:bCs/>
          <w:color w:val="2C2C2C"/>
        </w:rPr>
        <w:t xml:space="preserve">Claim 2: </w:t>
      </w:r>
      <w:r>
        <w:rPr>
          <w:color w:val="2C2C2C"/>
        </w:rPr>
        <w:t>A system implementing the Triple Subscriber Pattern for parallel, independent processing of commercial events across evidence, application, and blockchain stores.</w:t>
      </w:r>
    </w:p>
    <w:p w14:paraId="7ED4345C" w14:textId="77777777" w:rsidR="00C54027" w:rsidRDefault="00424ADE">
      <w:pPr>
        <w:pStyle w:val="ListParagraph"/>
        <w:numPr>
          <w:ilvl w:val="0"/>
          <w:numId w:val="4"/>
        </w:numPr>
        <w:spacing w:after="120" w:line="360" w:lineRule="auto"/>
      </w:pPr>
      <w:r>
        <w:rPr>
          <w:b/>
          <w:bCs/>
          <w:color w:val="2C2C2C"/>
        </w:rPr>
        <w:t xml:space="preserve">Claim 3: </w:t>
      </w:r>
      <w:r>
        <w:rPr>
          <w:color w:val="2C2C2C"/>
        </w:rPr>
        <w:t>A protocol for inscribing batched Merkle roots of commercial event hashes onto a proof-of-work blockchain as Ordinal inscriptions.</w:t>
      </w:r>
    </w:p>
    <w:p w14:paraId="2DE9B3FF" w14:textId="77777777" w:rsidR="00C54027" w:rsidRDefault="00424ADE">
      <w:pPr>
        <w:pStyle w:val="ListParagraph"/>
        <w:numPr>
          <w:ilvl w:val="0"/>
          <w:numId w:val="4"/>
        </w:numPr>
        <w:spacing w:after="120" w:line="360" w:lineRule="auto"/>
      </w:pPr>
      <w:r>
        <w:rPr>
          <w:b/>
          <w:bCs/>
          <w:color w:val="2C2C2C"/>
        </w:rPr>
        <w:t xml:space="preserve">Claim 4: </w:t>
      </w:r>
      <w:r>
        <w:rPr>
          <w:color w:val="2C2C2C"/>
        </w:rPr>
        <w:t>A pseudonymous namespace system providing Layer 1 privacy with opt-in Layer 2 identity disclosure for commercial participants.</w:t>
      </w:r>
    </w:p>
    <w:p w14:paraId="79AAF9CD" w14:textId="77777777" w:rsidR="00C54027" w:rsidRDefault="00424ADE">
      <w:pPr>
        <w:pStyle w:val="ListParagraph"/>
        <w:numPr>
          <w:ilvl w:val="0"/>
          <w:numId w:val="4"/>
        </w:numPr>
        <w:spacing w:after="120" w:line="360" w:lineRule="auto"/>
      </w:pPr>
      <w:r>
        <w:rPr>
          <w:b/>
          <w:bCs/>
          <w:color w:val="2C2C2C"/>
        </w:rPr>
        <w:t xml:space="preserve">Claim 5: </w:t>
      </w:r>
      <w:r>
        <w:rPr>
          <w:color w:val="2C2C2C"/>
        </w:rPr>
        <w:t>An economic protocol using Lightning Network micropayments for third-party verification services, creating a self-sustaining inscription funding mechanism.</w:t>
      </w:r>
    </w:p>
    <w:p w14:paraId="2F3E2835" w14:textId="77777777" w:rsidR="00C54027" w:rsidRDefault="00424ADE">
      <w:pPr>
        <w:spacing w:after="200" w:line="360" w:lineRule="auto"/>
        <w:jc w:val="both"/>
      </w:pPr>
      <w:r>
        <w:rPr>
          <w:color w:val="2C2C2C"/>
        </w:rPr>
        <w:t>The claims are demonstrated through six embodiments:</w:t>
      </w:r>
    </w:p>
    <w:p w14:paraId="7E9940F5" w14:textId="77777777" w:rsidR="00C54027" w:rsidRDefault="00424ADE">
      <w:pPr>
        <w:pStyle w:val="ListParagraph"/>
        <w:numPr>
          <w:ilvl w:val="0"/>
          <w:numId w:val="3"/>
        </w:numPr>
        <w:spacing w:after="120" w:line="360" w:lineRule="auto"/>
      </w:pPr>
      <w:r>
        <w:rPr>
          <w:color w:val="2C2C2C"/>
        </w:rPr>
        <w:t>Retail: Point-of-sale transaction verification (primary embodiment, implemented in Canary LP)</w:t>
      </w:r>
    </w:p>
    <w:p w14:paraId="585DF0B0" w14:textId="77777777" w:rsidR="00C54027" w:rsidRDefault="00424ADE">
      <w:pPr>
        <w:pStyle w:val="ListParagraph"/>
        <w:numPr>
          <w:ilvl w:val="0"/>
          <w:numId w:val="3"/>
        </w:numPr>
        <w:spacing w:after="120" w:line="360" w:lineRule="auto"/>
      </w:pPr>
      <w:r>
        <w:rPr>
          <w:color w:val="2C2C2C"/>
        </w:rPr>
        <w:t>Healthcare: HIPAA-compliant medical record notarization with patient-controlled disclosure</w:t>
      </w:r>
    </w:p>
    <w:p w14:paraId="26E7692E" w14:textId="77777777" w:rsidR="00C54027" w:rsidRDefault="00424ADE">
      <w:pPr>
        <w:pStyle w:val="ListParagraph"/>
        <w:numPr>
          <w:ilvl w:val="0"/>
          <w:numId w:val="3"/>
        </w:numPr>
        <w:spacing w:after="120" w:line="360" w:lineRule="auto"/>
      </w:pPr>
      <w:r>
        <w:rPr>
          <w:color w:val="2C2C2C"/>
        </w:rPr>
        <w:t>Supply Chain: Chain-of-custody verification for logistics and provenance tracking</w:t>
      </w:r>
    </w:p>
    <w:p w14:paraId="16BACA01" w14:textId="77777777" w:rsidR="00C54027" w:rsidRDefault="00424ADE">
      <w:pPr>
        <w:pStyle w:val="ListParagraph"/>
        <w:numPr>
          <w:ilvl w:val="0"/>
          <w:numId w:val="3"/>
        </w:numPr>
        <w:spacing w:after="120" w:line="360" w:lineRule="auto"/>
      </w:pPr>
      <w:r>
        <w:rPr>
          <w:color w:val="2C2C2C"/>
        </w:rPr>
        <w:t>Legal: Contract execution and document authentication with timestamped proof</w:t>
      </w:r>
    </w:p>
    <w:p w14:paraId="16E435FF" w14:textId="77777777" w:rsidR="00C54027" w:rsidRDefault="00424ADE">
      <w:pPr>
        <w:pStyle w:val="ListParagraph"/>
        <w:numPr>
          <w:ilvl w:val="0"/>
          <w:numId w:val="3"/>
        </w:numPr>
        <w:spacing w:after="120" w:line="360" w:lineRule="auto"/>
      </w:pPr>
      <w:r>
        <w:rPr>
          <w:color w:val="2C2C2C"/>
        </w:rPr>
        <w:t>Insurance: Claims evidence preservation with independent verification capability</w:t>
      </w:r>
    </w:p>
    <w:p w14:paraId="4BF842DD" w14:textId="77777777" w:rsidR="00C54027" w:rsidRDefault="00424ADE">
      <w:pPr>
        <w:pStyle w:val="ListParagraph"/>
        <w:numPr>
          <w:ilvl w:val="0"/>
          <w:numId w:val="3"/>
        </w:numPr>
        <w:spacing w:after="120" w:line="360" w:lineRule="auto"/>
      </w:pPr>
      <w:r>
        <w:rPr>
          <w:color w:val="2C2C2C"/>
        </w:rPr>
        <w:t>Government: Regulatory filing notarization and public record integrity</w:t>
      </w:r>
    </w:p>
    <w:p w14:paraId="0E2A0037" w14:textId="77777777" w:rsidR="00C54027" w:rsidRDefault="00424ADE">
      <w:pPr>
        <w:pStyle w:val="Heading1"/>
        <w:pageBreakBefore/>
      </w:pPr>
      <w:bookmarkStart w:id="22" w:name="_Toc223417812"/>
      <w:r>
        <w:lastRenderedPageBreak/>
        <w:t>Part D: Agentic Development Methodology</w:t>
      </w:r>
      <w:bookmarkEnd w:id="22"/>
    </w:p>
    <w:p w14:paraId="7C56EEFB" w14:textId="77777777" w:rsidR="00C54027" w:rsidRDefault="00424ADE">
      <w:pPr>
        <w:pStyle w:val="Heading2"/>
      </w:pPr>
      <w:bookmarkStart w:id="23" w:name="_Toc223417813"/>
      <w:r>
        <w:t>18. Specification-Driven Agentic Development</w:t>
      </w:r>
      <w:bookmarkEnd w:id="23"/>
    </w:p>
    <w:p w14:paraId="2E1B0B72" w14:textId="77777777" w:rsidR="00C54027" w:rsidRDefault="00424ADE">
      <w:pPr>
        <w:spacing w:after="200" w:line="360" w:lineRule="auto"/>
        <w:jc w:val="both"/>
      </w:pPr>
      <w:r>
        <w:rPr>
          <w:color w:val="2C2C2C"/>
        </w:rPr>
        <w:t>The development of Canary LP employs a novel approach to software construction that we term specification-driven agentic development. In this model, a team of AI agents operates under the governance of a human founder-architect, with all work tracked through a formal issue management system (Linear), all specifications frozen before implementation begins, and all deliverables subject to mandatory QA review before acceptance.</w:t>
      </w:r>
    </w:p>
    <w:p w14:paraId="5E92DC6B" w14:textId="77777777" w:rsidR="00C54027" w:rsidRDefault="00424ADE">
      <w:pPr>
        <w:spacing w:after="200" w:line="360" w:lineRule="auto"/>
        <w:jc w:val="both"/>
      </w:pPr>
      <w:r>
        <w:rPr>
          <w:color w:val="2C2C2C"/>
        </w:rPr>
        <w:t>The approach is distinguished from conventional AI-assisted coding by several structural properties:</w:t>
      </w:r>
    </w:p>
    <w:p w14:paraId="431EE411" w14:textId="77777777" w:rsidR="00C54027" w:rsidRDefault="00424ADE">
      <w:pPr>
        <w:pStyle w:val="ListParagraph"/>
        <w:numPr>
          <w:ilvl w:val="0"/>
          <w:numId w:val="6"/>
        </w:numPr>
        <w:spacing w:after="120" w:line="360" w:lineRule="auto"/>
      </w:pPr>
      <w:r>
        <w:rPr>
          <w:color w:val="2C2C2C"/>
        </w:rPr>
        <w:t>Frozen specification: The 27-feature, 174-acceptance-criteria specification is immutable. Agents cannot add features, modify acceptance criteria, or expand scope without explicit human approval.</w:t>
      </w:r>
    </w:p>
    <w:p w14:paraId="132028EF" w14:textId="77777777" w:rsidR="00C54027" w:rsidRDefault="00424ADE">
      <w:pPr>
        <w:pStyle w:val="ListParagraph"/>
        <w:numPr>
          <w:ilvl w:val="0"/>
          <w:numId w:val="6"/>
        </w:numPr>
        <w:spacing w:after="120" w:line="360" w:lineRule="auto"/>
      </w:pPr>
      <w:r>
        <w:rPr>
          <w:color w:val="2C2C2C"/>
        </w:rPr>
        <w:t>Role specialization: Each agent has a defined role, perspective, and set of constraints. Agents are not general-purpose assistants; they are domain specialists with bounded authority.</w:t>
      </w:r>
    </w:p>
    <w:p w14:paraId="53CF1A9C" w14:textId="77777777" w:rsidR="00C54027" w:rsidRDefault="00424ADE">
      <w:pPr>
        <w:pStyle w:val="ListParagraph"/>
        <w:numPr>
          <w:ilvl w:val="0"/>
          <w:numId w:val="6"/>
        </w:numPr>
        <w:spacing w:after="120" w:line="360" w:lineRule="auto"/>
      </w:pPr>
      <w:r>
        <w:rPr>
          <w:color w:val="2C2C2C"/>
        </w:rPr>
        <w:t>QA gate: No deliverable is accepted without formal QA sign-off. The QA agent has absolute veto authority.</w:t>
      </w:r>
    </w:p>
    <w:p w14:paraId="4B3CBEF1" w14:textId="77777777" w:rsidR="00C54027" w:rsidRDefault="00424ADE">
      <w:pPr>
        <w:pStyle w:val="ListParagraph"/>
        <w:numPr>
          <w:ilvl w:val="0"/>
          <w:numId w:val="6"/>
        </w:numPr>
        <w:spacing w:after="120" w:line="360" w:lineRule="auto"/>
      </w:pPr>
      <w:r>
        <w:rPr>
          <w:color w:val="2C2C2C"/>
        </w:rPr>
        <w:t>Scope control: Agents are explicitly prohibited from fixing problems outside their assigned issue, creating files not required by their issue, or refactoring code not included in their issue scope.</w:t>
      </w:r>
    </w:p>
    <w:p w14:paraId="74760F72" w14:textId="77777777" w:rsidR="00C54027" w:rsidRDefault="00424ADE">
      <w:pPr>
        <w:pStyle w:val="ListParagraph"/>
        <w:numPr>
          <w:ilvl w:val="0"/>
          <w:numId w:val="6"/>
        </w:numPr>
        <w:spacing w:after="120" w:line="360" w:lineRule="auto"/>
      </w:pPr>
      <w:r>
        <w:rPr>
          <w:color w:val="2C2C2C"/>
        </w:rPr>
        <w:t>Linear as single source of truth: All tasks originate from Linear issues with explicit done-when criteria. Agents cannot self-assign work or pursue emergent objectives.</w:t>
      </w:r>
    </w:p>
    <w:p w14:paraId="703B77D4" w14:textId="77777777" w:rsidR="00C54027" w:rsidRDefault="00424ADE">
      <w:pPr>
        <w:pStyle w:val="Heading2"/>
      </w:pPr>
      <w:bookmarkStart w:id="24" w:name="_Toc223417814"/>
      <w:r>
        <w:t>19. Agent Roster and Governance</w:t>
      </w:r>
      <w:bookmarkEnd w:id="24"/>
    </w:p>
    <w:p w14:paraId="3471041E" w14:textId="77777777" w:rsidR="00C54027" w:rsidRDefault="00424ADE">
      <w:pPr>
        <w:spacing w:after="200" w:line="360" w:lineRule="auto"/>
        <w:jc w:val="both"/>
      </w:pPr>
      <w:r>
        <w:rPr>
          <w:color w:val="2C2C2C"/>
        </w:rPr>
        <w:t xml:space="preserve">The development team comprises 15 specialized agents, each with a documented role profile, operating principles, and scope constraints. The governance structure places a </w:t>
      </w:r>
      <w:r>
        <w:rPr>
          <w:color w:val="2C2C2C"/>
        </w:rPr>
        <w:lastRenderedPageBreak/>
        <w:t>single Chief of Staff agent at the coordination layer, responsible for task dispatch, context management, and operational clarity. All agents report through this coordination layer; no agent communicates directly with another without coordination oversight.</w:t>
      </w:r>
    </w:p>
    <w:p w14:paraId="6EB7AF5D" w14:textId="77777777" w:rsidR="00C54027" w:rsidRDefault="00424ADE">
      <w:pPr>
        <w:spacing w:after="200" w:line="360" w:lineRule="auto"/>
        <w:jc w:val="both"/>
      </w:pPr>
      <w:r>
        <w:rPr>
          <w:color w:val="2C2C2C"/>
        </w:rPr>
        <w:t>This governance model addresses the primary failure mode of multi-agent systems: scope creep and uncoordinated action. By routing all task assignment through a central coordination point with mandatory issue tracking, the system ensures that agent actions are auditable, reversible, and aligned with the frozen specification.</w:t>
      </w:r>
    </w:p>
    <w:p w14:paraId="17CF7308" w14:textId="77777777" w:rsidR="00C54027" w:rsidRDefault="00424ADE">
      <w:pPr>
        <w:pStyle w:val="Heading2"/>
      </w:pPr>
      <w:bookmarkStart w:id="25" w:name="_Toc223417815"/>
      <w:r>
        <w:t>20. Process Appendix</w:t>
      </w:r>
      <w:bookmarkEnd w:id="25"/>
    </w:p>
    <w:p w14:paraId="0C7CB122" w14:textId="77777777" w:rsidR="00C54027" w:rsidRDefault="00424ADE">
      <w:pPr>
        <w:spacing w:after="200" w:line="360" w:lineRule="auto"/>
        <w:jc w:val="both"/>
      </w:pPr>
      <w:r>
        <w:rPr>
          <w:i/>
          <w:iCs/>
          <w:color w:val="2C2C2C"/>
        </w:rPr>
        <w:t>This section is reserved for a detailed process narrative documenting the agentic development methodology, workflow patterns, and lessons learned. The appendix will be contributed by the Documentation Lead as a standalone process artifact that demonstrates the practical application of specification-driven agentic development in a production software project.</w:t>
      </w:r>
    </w:p>
    <w:p w14:paraId="26A413CF" w14:textId="77777777" w:rsidR="00C54027" w:rsidRDefault="00424ADE">
      <w:pPr>
        <w:spacing w:after="200" w:line="360" w:lineRule="auto"/>
        <w:jc w:val="both"/>
      </w:pPr>
      <w:r>
        <w:rPr>
          <w:i/>
          <w:iCs/>
          <w:color w:val="2C2C2C"/>
        </w:rPr>
        <w:t>[Appendix content to be provided by Documentation Lead — GRO-61]</w:t>
      </w:r>
    </w:p>
    <w:p w14:paraId="7F98B759" w14:textId="77777777" w:rsidR="00C54027" w:rsidRDefault="00424ADE">
      <w:pPr>
        <w:pStyle w:val="Heading1"/>
        <w:pageBreakBefore/>
      </w:pPr>
      <w:bookmarkStart w:id="26" w:name="_Toc223417816"/>
      <w:r>
        <w:lastRenderedPageBreak/>
        <w:t>Epilogue: The Digital Fingerprint</w:t>
      </w:r>
      <w:bookmarkEnd w:id="26"/>
    </w:p>
    <w:p w14:paraId="20BED8A8" w14:textId="77777777" w:rsidR="00C54027" w:rsidRDefault="00424ADE">
      <w:pPr>
        <w:spacing w:after="200" w:line="360" w:lineRule="auto"/>
        <w:jc w:val="both"/>
      </w:pPr>
      <w:r>
        <w:rPr>
          <w:color w:val="2C2C2C"/>
        </w:rPr>
        <w:t xml:space="preserve">This paper has described an architecture for one thing: inscribing cryptographic proof of commercial transactions on the Bitcoin time chain. The case study is a loss prevention platform for small </w:t>
      </w:r>
      <w:proofErr w:type="gramStart"/>
      <w:r>
        <w:rPr>
          <w:color w:val="2C2C2C"/>
        </w:rPr>
        <w:t>Square</w:t>
      </w:r>
      <w:proofErr w:type="gramEnd"/>
      <w:r>
        <w:rPr>
          <w:color w:val="2C2C2C"/>
        </w:rPr>
        <w:t xml:space="preserve"> merchants. The implementation is specific, the specification is frozen, and the acceptance criteria are numbered.</w:t>
      </w:r>
    </w:p>
    <w:p w14:paraId="548A5A28" w14:textId="77777777" w:rsidR="00C54027" w:rsidRDefault="00424ADE">
      <w:pPr>
        <w:spacing w:after="200" w:line="360" w:lineRule="auto"/>
        <w:jc w:val="both"/>
      </w:pPr>
      <w:r>
        <w:rPr>
          <w:color w:val="2C2C2C"/>
        </w:rPr>
        <w:t>But architecture is not product. And a protocol does not care what it carries.</w:t>
      </w:r>
    </w:p>
    <w:p w14:paraId="5AB1820D" w14:textId="77777777" w:rsidR="00C54027" w:rsidRDefault="00C54027">
      <w:pPr>
        <w:spacing w:after="200"/>
      </w:pPr>
    </w:p>
    <w:p w14:paraId="66D71E89" w14:textId="77777777" w:rsidR="00C54027" w:rsidRDefault="00424ADE">
      <w:pPr>
        <w:pStyle w:val="Heading2"/>
      </w:pPr>
      <w:bookmarkStart w:id="27" w:name="_Toc223417817"/>
      <w:r>
        <w:t>Beyond Retail: The Universal Event</w:t>
      </w:r>
      <w:bookmarkEnd w:id="27"/>
    </w:p>
    <w:p w14:paraId="65BB6A99" w14:textId="77777777" w:rsidR="00C54027" w:rsidRDefault="00424ADE">
      <w:pPr>
        <w:spacing w:after="200" w:line="360" w:lineRule="auto"/>
        <w:jc w:val="both"/>
      </w:pPr>
      <w:r>
        <w:rPr>
          <w:color w:val="2C2C2C"/>
        </w:rPr>
        <w:t xml:space="preserve">The six-node pipeline described in Part B receives a webhook, hashes it at ingress, seals it to an evidence store, and inscribes its Merkle root on Bitcoin. At no point in this pipeline does the system interpret the contents of the event. It does not know whether the payload is a $4.50 coffee transaction, a patient discharge record, a ballot cast in a municipal election, or a chain-of-custody handoff for a pharmaceutical shipment. It does not need to know. The cryptographic proof is </w:t>
      </w:r>
      <w:proofErr w:type="gramStart"/>
      <w:r>
        <w:rPr>
          <w:color w:val="2C2C2C"/>
        </w:rPr>
        <w:t>content-agnostic</w:t>
      </w:r>
      <w:proofErr w:type="gramEnd"/>
      <w:r>
        <w:rPr>
          <w:color w:val="2C2C2C"/>
        </w:rPr>
        <w:t>. The travelling firewall envelops any event that can be expressed as a data payload.</w:t>
      </w:r>
    </w:p>
    <w:p w14:paraId="61F560F2" w14:textId="77777777" w:rsidR="00C54027" w:rsidRDefault="00424ADE">
      <w:pPr>
        <w:spacing w:after="200" w:line="360" w:lineRule="auto"/>
        <w:jc w:val="both"/>
      </w:pPr>
      <w:r>
        <w:rPr>
          <w:color w:val="2C2C2C"/>
        </w:rPr>
        <w:t>This is not a theoretical observation. The provisional patent application covers six embodiments precisely because the architecture is universal:</w:t>
      </w:r>
    </w:p>
    <w:p w14:paraId="1D951D4D" w14:textId="77777777" w:rsidR="00C54027" w:rsidRDefault="00424ADE">
      <w:pPr>
        <w:pStyle w:val="ListParagraph"/>
        <w:numPr>
          <w:ilvl w:val="0"/>
          <w:numId w:val="2"/>
        </w:numPr>
        <w:spacing w:after="120" w:line="360" w:lineRule="auto"/>
      </w:pPr>
      <w:r>
        <w:rPr>
          <w:color w:val="2C2C2C"/>
        </w:rPr>
        <w:t>A medical record sealed at the point of creation, pseudonymous on Layer 1, disclosed only when the patient opts in on Layer 2 — that is HIPAA compliance achieved by construction, not by policy. The patient controls the key. The proof travels with the record. No hospital database, no insurance platform, no government registry stands between a patient and the cryptographic evidence of their own medical history.</w:t>
      </w:r>
    </w:p>
    <w:p w14:paraId="7C91D056" w14:textId="77777777" w:rsidR="00C54027" w:rsidRDefault="00424ADE">
      <w:pPr>
        <w:pStyle w:val="ListParagraph"/>
        <w:numPr>
          <w:ilvl w:val="0"/>
          <w:numId w:val="2"/>
        </w:numPr>
        <w:spacing w:after="120" w:line="360" w:lineRule="auto"/>
      </w:pPr>
      <w:r>
        <w:rPr>
          <w:color w:val="2C2C2C"/>
        </w:rPr>
        <w:t>A voter identity inscribed on the time chain with a GUID namespace — that is election integrity that does not depend on trusting the county clerk’s database or the voting machine manufacturer’s software. The proof is on the chain. The identity is pseudonymous. The verification is independent. A recount is a Merkle proof, not a political negotiation.</w:t>
      </w:r>
    </w:p>
    <w:p w14:paraId="00F26A62" w14:textId="77777777" w:rsidR="00C54027" w:rsidRDefault="00424ADE">
      <w:pPr>
        <w:pStyle w:val="ListParagraph"/>
        <w:numPr>
          <w:ilvl w:val="0"/>
          <w:numId w:val="2"/>
        </w:numPr>
        <w:spacing w:after="120" w:line="360" w:lineRule="auto"/>
      </w:pPr>
      <w:r>
        <w:rPr>
          <w:color w:val="2C2C2C"/>
        </w:rPr>
        <w:lastRenderedPageBreak/>
        <w:t>A supply chain event sealed at each handoff point — that is provenance verification from farm to shelf, from manufacturer to distributor to retailer. Every custody transfer is an event. Every event is hashed. Every hash is inscribed. The chain of custody becomes a chain on the chain.</w:t>
      </w:r>
    </w:p>
    <w:p w14:paraId="6EE7DDBB" w14:textId="77777777" w:rsidR="00C54027" w:rsidRDefault="00424ADE">
      <w:pPr>
        <w:pStyle w:val="ListParagraph"/>
        <w:numPr>
          <w:ilvl w:val="0"/>
          <w:numId w:val="2"/>
        </w:numPr>
        <w:spacing w:after="120" w:line="360" w:lineRule="auto"/>
      </w:pPr>
      <w:r>
        <w:rPr>
          <w:color w:val="2C2C2C"/>
        </w:rPr>
        <w:t xml:space="preserve">A legal contract execution timestamped and inscribed </w:t>
      </w:r>
      <w:proofErr w:type="gramStart"/>
      <w:r>
        <w:rPr>
          <w:color w:val="2C2C2C"/>
        </w:rPr>
        <w:t>at the moment</w:t>
      </w:r>
      <w:proofErr w:type="gramEnd"/>
      <w:r>
        <w:rPr>
          <w:color w:val="2C2C2C"/>
        </w:rPr>
        <w:t xml:space="preserve"> of signature — that is a notarization that does not require a notary, a witness that does not require a witness, a record that outlives every party to the agreement.</w:t>
      </w:r>
    </w:p>
    <w:p w14:paraId="50324E9D" w14:textId="77777777" w:rsidR="00C54027" w:rsidRDefault="00424ADE">
      <w:pPr>
        <w:pStyle w:val="ListParagraph"/>
        <w:numPr>
          <w:ilvl w:val="0"/>
          <w:numId w:val="2"/>
        </w:numPr>
        <w:spacing w:after="120" w:line="360" w:lineRule="auto"/>
      </w:pPr>
      <w:r>
        <w:rPr>
          <w:color w:val="2C2C2C"/>
        </w:rPr>
        <w:t xml:space="preserve">An insurance claim with its supporting evidence sealed </w:t>
      </w:r>
      <w:proofErr w:type="gramStart"/>
      <w:r>
        <w:rPr>
          <w:color w:val="2C2C2C"/>
        </w:rPr>
        <w:t>at the moment</w:t>
      </w:r>
      <w:proofErr w:type="gramEnd"/>
      <w:r>
        <w:rPr>
          <w:color w:val="2C2C2C"/>
        </w:rPr>
        <w:t xml:space="preserve"> of the loss event — that is a claim file that cannot be disputed, altered, or conveniently lost. The proof exists on Bitcoin before the adjuster arrives.</w:t>
      </w:r>
    </w:p>
    <w:p w14:paraId="34FEAFD5" w14:textId="77777777" w:rsidR="00C54027" w:rsidRDefault="00424ADE">
      <w:pPr>
        <w:pStyle w:val="ListParagraph"/>
        <w:numPr>
          <w:ilvl w:val="0"/>
          <w:numId w:val="2"/>
        </w:numPr>
        <w:spacing w:after="120" w:line="360" w:lineRule="auto"/>
      </w:pPr>
      <w:r>
        <w:rPr>
          <w:color w:val="2C2C2C"/>
        </w:rPr>
        <w:t xml:space="preserve">A government filing inscribed </w:t>
      </w:r>
      <w:proofErr w:type="gramStart"/>
      <w:r>
        <w:rPr>
          <w:color w:val="2C2C2C"/>
        </w:rPr>
        <w:t>at the moment</w:t>
      </w:r>
      <w:proofErr w:type="gramEnd"/>
      <w:r>
        <w:rPr>
          <w:color w:val="2C2C2C"/>
        </w:rPr>
        <w:t xml:space="preserve"> of submission — that is a public record that </w:t>
      </w:r>
      <w:proofErr w:type="gramStart"/>
      <w:r>
        <w:rPr>
          <w:color w:val="2C2C2C"/>
        </w:rPr>
        <w:t>is actually, permanently</w:t>
      </w:r>
      <w:proofErr w:type="gramEnd"/>
      <w:r>
        <w:rPr>
          <w:color w:val="2C2C2C"/>
        </w:rPr>
        <w:t>, irrevocably public. Not public because a server is running. Public because the time chain is running.</w:t>
      </w:r>
    </w:p>
    <w:p w14:paraId="29AC4D35" w14:textId="77777777" w:rsidR="00C54027" w:rsidRDefault="00C54027">
      <w:pPr>
        <w:spacing w:after="200"/>
      </w:pPr>
    </w:p>
    <w:p w14:paraId="521AA107" w14:textId="77777777" w:rsidR="00C54027" w:rsidRDefault="00424ADE">
      <w:pPr>
        <w:pStyle w:val="Heading2"/>
      </w:pPr>
      <w:bookmarkStart w:id="28" w:name="_Toc223417818"/>
      <w:r>
        <w:t>The Travelling Digital Fingerprint</w:t>
      </w:r>
      <w:bookmarkEnd w:id="28"/>
    </w:p>
    <w:p w14:paraId="62A05AEA" w14:textId="77777777" w:rsidR="00C54027" w:rsidRDefault="00424ADE">
      <w:pPr>
        <w:spacing w:after="200" w:line="360" w:lineRule="auto"/>
        <w:jc w:val="both"/>
      </w:pPr>
      <w:r>
        <w:rPr>
          <w:color w:val="2C2C2C"/>
        </w:rPr>
        <w:t>What emerges from the universal application of this architecture is something larger than any single embodiment. It is a travelling digital fingerprint: a portable, cryptographic proof of identity and activity that moves with the individual across every system they touch.</w:t>
      </w:r>
    </w:p>
    <w:p w14:paraId="3CCCA6E3" w14:textId="77777777" w:rsidR="00C54027" w:rsidRDefault="00424ADE">
      <w:pPr>
        <w:spacing w:after="200" w:line="360" w:lineRule="auto"/>
        <w:jc w:val="both"/>
      </w:pPr>
      <w:r>
        <w:rPr>
          <w:color w:val="2C2C2C"/>
        </w:rPr>
        <w:t>Today, your digital identity is scattered across hundreds of platforms, each holding a fragment, each controlling access to that fragment, each monetizing it independently. Your medical records are in one system. Your financial history is in another. Your voting record is in a third. Your commercial activity is in a fourth. None of these systems talk to each other. None of them answer to you. And none of them will survive unchanged for the duration of your life.</w:t>
      </w:r>
    </w:p>
    <w:p w14:paraId="122B312D" w14:textId="77777777" w:rsidR="00C54027" w:rsidRDefault="00424ADE">
      <w:pPr>
        <w:spacing w:after="200" w:line="360" w:lineRule="auto"/>
        <w:jc w:val="both"/>
      </w:pPr>
      <w:r>
        <w:rPr>
          <w:color w:val="2C2C2C"/>
        </w:rPr>
        <w:t xml:space="preserve">The architecture described in this paper offers a different model. Each event in your life that matters — each transaction, each medical encounter, each legal agreement, each civic participation — is sealed </w:t>
      </w:r>
      <w:proofErr w:type="gramStart"/>
      <w:r>
        <w:rPr>
          <w:color w:val="2C2C2C"/>
        </w:rPr>
        <w:t>at the moment</w:t>
      </w:r>
      <w:proofErr w:type="gramEnd"/>
      <w:r>
        <w:rPr>
          <w:color w:val="2C2C2C"/>
        </w:rPr>
        <w:t xml:space="preserve"> it occurs, hashed, and anchored to a time chain that has operated continuously since 2009 and will operate for as long as electricity </w:t>
      </w:r>
      <w:r>
        <w:rPr>
          <w:color w:val="2C2C2C"/>
        </w:rPr>
        <w:lastRenderedPageBreak/>
        <w:t>flows and mathematics holds. The proof is yours. It travels with you. It does not depend on any platform, any institution, any government continuing to operate or choosing to cooperate. It is a fingerprint that cannot be smudged, a record that cannot be lost, an identity that cannot be revoked by anyone other than you.</w:t>
      </w:r>
    </w:p>
    <w:p w14:paraId="1E0A559B" w14:textId="77777777" w:rsidR="00C54027" w:rsidRDefault="00424ADE">
      <w:pPr>
        <w:spacing w:after="200" w:line="360" w:lineRule="auto"/>
        <w:jc w:val="both"/>
      </w:pPr>
      <w:r>
        <w:rPr>
          <w:color w:val="2C2C2C"/>
        </w:rPr>
        <w:t>The opt-in, opt-out boundary is the critical feature. The fingerprint is pseudonymous by default. A GUID on Layer 1. A string of characters that means nothing to anyone who does not hold the key. But when you choose to disclose — to a doctor, to an auditor, to a voter registrar, to an insurance adjuster — the proof is there, it is verifiable, and it is yours to share. You control the disclosure. You control the revocation. You control the identity.</w:t>
      </w:r>
    </w:p>
    <w:p w14:paraId="0D82CF03" w14:textId="77777777" w:rsidR="00C54027" w:rsidRDefault="00C54027">
      <w:pPr>
        <w:spacing w:after="200"/>
      </w:pPr>
    </w:p>
    <w:p w14:paraId="6E4C664D" w14:textId="77777777" w:rsidR="00C54027" w:rsidRDefault="00424ADE">
      <w:pPr>
        <w:pStyle w:val="Heading2"/>
      </w:pPr>
      <w:bookmarkStart w:id="29" w:name="_Toc223417819"/>
      <w:r>
        <w:t>First, the Merchant</w:t>
      </w:r>
      <w:bookmarkEnd w:id="29"/>
    </w:p>
    <w:p w14:paraId="03FD8B5E" w14:textId="77777777" w:rsidR="00C54027" w:rsidRDefault="00424ADE">
      <w:pPr>
        <w:spacing w:after="200" w:line="360" w:lineRule="auto"/>
        <w:jc w:val="both"/>
      </w:pPr>
      <w:r>
        <w:rPr>
          <w:color w:val="2C2C2C"/>
        </w:rPr>
        <w:t xml:space="preserve">We are not building </w:t>
      </w:r>
      <w:proofErr w:type="gramStart"/>
      <w:r>
        <w:rPr>
          <w:color w:val="2C2C2C"/>
        </w:rPr>
        <w:t>all of</w:t>
      </w:r>
      <w:proofErr w:type="gramEnd"/>
      <w:r>
        <w:rPr>
          <w:color w:val="2C2C2C"/>
        </w:rPr>
        <w:t xml:space="preserve"> this today. We are building Canary LP. We are building it for the 4.5 million small merchants on the </w:t>
      </w:r>
      <w:proofErr w:type="gramStart"/>
      <w:r>
        <w:rPr>
          <w:color w:val="2C2C2C"/>
        </w:rPr>
        <w:t>Square</w:t>
      </w:r>
      <w:proofErr w:type="gramEnd"/>
      <w:r>
        <w:rPr>
          <w:color w:val="2C2C2C"/>
        </w:rPr>
        <w:t xml:space="preserve"> network who deserve to own the proof of what happens in their businesses. We are building it against 174 acceptance criteria. We are building it with PostgreSQL and Python and Docker and a frozen specification that does not move until the tests pass.</w:t>
      </w:r>
    </w:p>
    <w:p w14:paraId="30D83E23" w14:textId="77777777" w:rsidR="00C54027" w:rsidRDefault="00424ADE">
      <w:pPr>
        <w:spacing w:after="200" w:line="360" w:lineRule="auto"/>
        <w:jc w:val="both"/>
      </w:pPr>
      <w:r>
        <w:rPr>
          <w:color w:val="2C2C2C"/>
        </w:rPr>
        <w:t>But the architecture does not stop at the register. The protocol does not stop at the receipt. And the travelling digital fingerprint does not stop at the merchant’s door.</w:t>
      </w:r>
    </w:p>
    <w:p w14:paraId="72D485E6" w14:textId="77777777" w:rsidR="00C54027" w:rsidRDefault="00424ADE">
      <w:pPr>
        <w:spacing w:after="200" w:line="360" w:lineRule="auto"/>
        <w:jc w:val="both"/>
      </w:pPr>
      <w:r>
        <w:rPr>
          <w:color w:val="2C2C2C"/>
        </w:rPr>
        <w:t>The Jeffersonian farmer did not build a republic. He built a farm. The republic emerged because the principles were right, the land was real, and the harvest belonged to the person who worked it.</w:t>
      </w:r>
    </w:p>
    <w:p w14:paraId="5E21C9CE" w14:textId="77777777" w:rsidR="00C54027" w:rsidRDefault="00424ADE">
      <w:pPr>
        <w:spacing w:after="200" w:line="360" w:lineRule="auto"/>
        <w:jc w:val="both"/>
      </w:pPr>
      <w:r>
        <w:rPr>
          <w:color w:val="2C2C2C"/>
        </w:rPr>
        <w:t>We are building a farm. The principles are right. The chain is real. And the harvest — for the first time in the history of digital commerce — will belong to the person who grew it.</w:t>
      </w:r>
    </w:p>
    <w:p w14:paraId="5147CA69" w14:textId="77777777" w:rsidR="00C54027" w:rsidRDefault="00C54027">
      <w:pPr>
        <w:spacing w:after="400"/>
      </w:pPr>
    </w:p>
    <w:p w14:paraId="4A2D1189" w14:textId="77777777" w:rsidR="00C54027" w:rsidRDefault="00424ADE">
      <w:pPr>
        <w:jc w:val="center"/>
      </w:pPr>
      <w:r>
        <w:rPr>
          <w:color w:val="555555"/>
        </w:rPr>
        <w:t>— — —</w:t>
      </w:r>
    </w:p>
    <w:p w14:paraId="3E06841E" w14:textId="77777777" w:rsidR="00C54027" w:rsidRDefault="00424ADE">
      <w:pPr>
        <w:pStyle w:val="Heading1"/>
        <w:pageBreakBefore/>
      </w:pPr>
      <w:bookmarkStart w:id="30" w:name="_Toc223417820"/>
      <w:r>
        <w:lastRenderedPageBreak/>
        <w:t>Bibliography</w:t>
      </w:r>
      <w:bookmarkEnd w:id="30"/>
    </w:p>
    <w:p w14:paraId="1B075A74" w14:textId="77777777" w:rsidR="00C54027" w:rsidRDefault="00424ADE">
      <w:pPr>
        <w:spacing w:after="200" w:line="360" w:lineRule="auto"/>
        <w:jc w:val="both"/>
      </w:pPr>
      <w:r>
        <w:rPr>
          <w:color w:val="2C2C2C"/>
        </w:rPr>
        <w:t>Alden, L. (2023). Broken Money: Why Our Financial System is Failing Us and How We Can Make It Better. Timestamp Press.</w:t>
      </w:r>
    </w:p>
    <w:p w14:paraId="0425C8AB" w14:textId="77777777" w:rsidR="00C54027" w:rsidRDefault="00424ADE">
      <w:pPr>
        <w:spacing w:after="200" w:line="360" w:lineRule="auto"/>
        <w:jc w:val="both"/>
      </w:pPr>
      <w:r>
        <w:rPr>
          <w:color w:val="2C2C2C"/>
        </w:rPr>
        <w:t>Ammous, S. (2018). The Bitcoin Standard: The Decentralized Alternative to Central Banking. Wiley.</w:t>
      </w:r>
    </w:p>
    <w:p w14:paraId="38900843" w14:textId="77777777" w:rsidR="00C54027" w:rsidRDefault="00424ADE">
      <w:pPr>
        <w:spacing w:after="200" w:line="360" w:lineRule="auto"/>
        <w:jc w:val="both"/>
      </w:pPr>
      <w:r>
        <w:rPr>
          <w:color w:val="2C2C2C"/>
        </w:rPr>
        <w:t>Bhatia, A. (2021). Layered Money: From Gold and Dollars to Bitcoin and Central Bank Digital Currencies. Nikhil Bhatia.</w:t>
      </w:r>
    </w:p>
    <w:p w14:paraId="0899B867" w14:textId="77777777" w:rsidR="00C54027" w:rsidRDefault="00424ADE">
      <w:pPr>
        <w:spacing w:after="200" w:line="360" w:lineRule="auto"/>
        <w:jc w:val="both"/>
      </w:pPr>
      <w:r>
        <w:rPr>
          <w:color w:val="2C2C2C"/>
        </w:rPr>
        <w:t>Hevner, A.R., March, S.T., Park, J., &amp; Ram, S. (2004). Design Science in Information Systems Research. MIS Quarterly, 28(1), 75–105.</w:t>
      </w:r>
    </w:p>
    <w:p w14:paraId="0C43F487" w14:textId="77777777" w:rsidR="00C54027" w:rsidRDefault="00424ADE">
      <w:pPr>
        <w:spacing w:after="200" w:line="360" w:lineRule="auto"/>
        <w:jc w:val="both"/>
      </w:pPr>
      <w:r>
        <w:rPr>
          <w:color w:val="2C2C2C"/>
        </w:rPr>
        <w:t>Lepard, L. (2023). The Big Print: What Happened to America and How Bitcoin Fixes It.</w:t>
      </w:r>
    </w:p>
    <w:p w14:paraId="26089FDC" w14:textId="77777777" w:rsidR="00C54027" w:rsidRDefault="00424ADE">
      <w:pPr>
        <w:spacing w:after="200" w:line="360" w:lineRule="auto"/>
        <w:jc w:val="both"/>
      </w:pPr>
      <w:r>
        <w:rPr>
          <w:color w:val="2C2C2C"/>
        </w:rPr>
        <w:t xml:space="preserve">Lowery, J. (2023). </w:t>
      </w:r>
      <w:proofErr w:type="spellStart"/>
      <w:r>
        <w:rPr>
          <w:color w:val="2C2C2C"/>
        </w:rPr>
        <w:t>Softwar</w:t>
      </w:r>
      <w:proofErr w:type="spellEnd"/>
      <w:r>
        <w:rPr>
          <w:color w:val="2C2C2C"/>
        </w:rPr>
        <w:t>: A Novel Theory on Power Projection and the National Strategic Significance of Bitcoin. Austin, TX.</w:t>
      </w:r>
    </w:p>
    <w:p w14:paraId="33E972F8" w14:textId="77777777" w:rsidR="00C54027" w:rsidRDefault="00424ADE">
      <w:pPr>
        <w:spacing w:after="200" w:line="360" w:lineRule="auto"/>
        <w:jc w:val="both"/>
      </w:pPr>
      <w:r>
        <w:rPr>
          <w:color w:val="2C2C2C"/>
        </w:rPr>
        <w:t>Nakamoto, S. (2008). Bitcoin: A Peer-to-Peer Electronic Cash System. bitcoin.org/bitcoin.pdf.</w:t>
      </w:r>
    </w:p>
    <w:p w14:paraId="1DEC68D7" w14:textId="77777777" w:rsidR="00C54027" w:rsidRDefault="00424ADE">
      <w:pPr>
        <w:spacing w:after="200" w:line="360" w:lineRule="auto"/>
        <w:jc w:val="both"/>
      </w:pPr>
      <w:r>
        <w:rPr>
          <w:color w:val="2C2C2C"/>
        </w:rPr>
        <w:t xml:space="preserve">Poon, J. &amp; Dryja, T. (2016). The Bitcoin Lightning Network: Scalable Off-Chain Instant Payments. </w:t>
      </w:r>
      <w:proofErr w:type="spellStart"/>
      <w:r>
        <w:rPr>
          <w:color w:val="2C2C2C"/>
        </w:rPr>
        <w:t>lightning.network</w:t>
      </w:r>
      <w:proofErr w:type="spellEnd"/>
      <w:r>
        <w:rPr>
          <w:color w:val="2C2C2C"/>
        </w:rPr>
        <w:t>/lightning-network-paper.pdf.</w:t>
      </w:r>
    </w:p>
    <w:p w14:paraId="117EC44B" w14:textId="77777777" w:rsidR="00C54027" w:rsidRDefault="00424ADE">
      <w:pPr>
        <w:spacing w:after="200" w:line="360" w:lineRule="auto"/>
        <w:jc w:val="both"/>
      </w:pPr>
      <w:proofErr w:type="spellStart"/>
      <w:r>
        <w:rPr>
          <w:color w:val="2C2C2C"/>
        </w:rPr>
        <w:t>Rodarmor</w:t>
      </w:r>
      <w:proofErr w:type="spellEnd"/>
      <w:r>
        <w:rPr>
          <w:color w:val="2C2C2C"/>
        </w:rPr>
        <w:t>, C. (2023). Ordinals: Inscriptions on Bitcoin. Ordinals Protocol Documentation. docs.ordinals.com.</w:t>
      </w:r>
    </w:p>
    <w:p w14:paraId="473D2FF6" w14:textId="77777777" w:rsidR="00C54027" w:rsidRDefault="00424ADE">
      <w:pPr>
        <w:pStyle w:val="Heading1"/>
        <w:pageBreakBefore/>
      </w:pPr>
      <w:bookmarkStart w:id="31" w:name="_Toc223417821"/>
      <w:r>
        <w:lastRenderedPageBreak/>
        <w:t>Figure Legends</w:t>
      </w:r>
      <w:bookmarkEnd w:id="31"/>
    </w:p>
    <w:p w14:paraId="1165CB7C" w14:textId="77777777" w:rsidR="00C54027" w:rsidRDefault="00424ADE">
      <w:pPr>
        <w:spacing w:after="200" w:line="360" w:lineRule="auto"/>
      </w:pPr>
      <w:r>
        <w:rPr>
          <w:b/>
          <w:bCs/>
          <w:color w:val="2C2C2C"/>
        </w:rPr>
        <w:t>Figure 1. Six-Node Pipeline Architecture v3.0</w:t>
      </w:r>
    </w:p>
    <w:p w14:paraId="093C02BB" w14:textId="77777777" w:rsidR="00C54027" w:rsidRDefault="00424ADE">
      <w:pPr>
        <w:spacing w:after="200" w:line="360" w:lineRule="auto"/>
        <w:jc w:val="both"/>
      </w:pPr>
      <w:r>
        <w:rPr>
          <w:color w:val="2C2C2C"/>
        </w:rPr>
        <w:t>Schematic representation of the complete event notarization pipeline, showing the six processing nodes from source network ingestion through API gateway hashing, message queue buffering, Triple Subscriber fan-out, Bitcoin inscription, and verification service. Directional flow indicates the irreversible progression from mutable commercial event to immutable on-chain proof.</w:t>
      </w:r>
    </w:p>
    <w:p w14:paraId="5E4179A0" w14:textId="77777777" w:rsidR="00C54027" w:rsidRDefault="00424ADE">
      <w:pPr>
        <w:spacing w:after="200" w:line="360" w:lineRule="auto"/>
      </w:pPr>
      <w:r>
        <w:rPr>
          <w:b/>
          <w:bCs/>
          <w:color w:val="2C2C2C"/>
        </w:rPr>
        <w:t>Figure 2. Single Transaction Data Flow</w:t>
      </w:r>
    </w:p>
    <w:p w14:paraId="10E3EA16" w14:textId="77777777" w:rsidR="00C54027" w:rsidRDefault="00424ADE">
      <w:pPr>
        <w:spacing w:after="200" w:line="360" w:lineRule="auto"/>
        <w:jc w:val="both"/>
      </w:pPr>
      <w:r>
        <w:rPr>
          <w:color w:val="2C2C2C"/>
        </w:rPr>
        <w:t>Detailed sequence diagram tracing a single commercial event from merchant point-of-sale through the complete pipeline. Illustrates the cryptographic chain of custody established at the API gateway and maintained through each subsequent processing stage.</w:t>
      </w:r>
    </w:p>
    <w:p w14:paraId="1298043E" w14:textId="77777777" w:rsidR="00C54027" w:rsidRDefault="00424ADE">
      <w:pPr>
        <w:spacing w:after="200" w:line="360" w:lineRule="auto"/>
      </w:pPr>
      <w:r>
        <w:rPr>
          <w:b/>
          <w:bCs/>
          <w:color w:val="2C2C2C"/>
        </w:rPr>
        <w:t>Figure 3. Triple Subscriber Component Detail</w:t>
      </w:r>
    </w:p>
    <w:p w14:paraId="6CE7857A" w14:textId="77777777" w:rsidR="00C54027" w:rsidRDefault="00424ADE">
      <w:pPr>
        <w:spacing w:after="200" w:line="360" w:lineRule="auto"/>
        <w:jc w:val="both"/>
      </w:pPr>
      <w:r>
        <w:rPr>
          <w:color w:val="2C2C2C"/>
        </w:rPr>
        <w:t>Architectural decomposition of the Triple Subscriber Pattern showing the three independent processing paths (Seal, Parse, Inscribe) consuming a single inbound message. Demonstrates the fault-isolation properties and independent failure domains of each subscriber.</w:t>
      </w:r>
    </w:p>
    <w:p w14:paraId="08F89A0D" w14:textId="77777777" w:rsidR="00C54027" w:rsidRDefault="00424ADE">
      <w:pPr>
        <w:spacing w:after="200" w:line="360" w:lineRule="auto"/>
      </w:pPr>
      <w:r>
        <w:rPr>
          <w:b/>
          <w:bCs/>
          <w:color w:val="2C2C2C"/>
        </w:rPr>
        <w:t>Figure 4. Data Sovereignty Stack</w:t>
      </w:r>
    </w:p>
    <w:p w14:paraId="443A9A72" w14:textId="77777777" w:rsidR="00C54027" w:rsidRDefault="00424ADE">
      <w:pPr>
        <w:spacing w:after="200" w:line="360" w:lineRule="auto"/>
        <w:jc w:val="both"/>
      </w:pPr>
      <w:r>
        <w:rPr>
          <w:color w:val="2C2C2C"/>
        </w:rPr>
        <w:t>Four-tier trust hierarchy illustrating the staged immutability model from application-layer data (mutable, hours-scale permanence) through structured store (append-only, days-scale) and evidence store (insert-only, years-scale) to Bitcoin time chain (immutable, permanent). Each tier provides independent verification capability.</w:t>
      </w:r>
    </w:p>
    <w:p w14:paraId="1743EA52" w14:textId="77777777" w:rsidR="00C54027" w:rsidRDefault="00424ADE">
      <w:pPr>
        <w:spacing w:after="200" w:line="360" w:lineRule="auto"/>
      </w:pPr>
      <w:r>
        <w:rPr>
          <w:b/>
          <w:bCs/>
          <w:color w:val="2C2C2C"/>
        </w:rPr>
        <w:t xml:space="preserve">Figure 5. </w:t>
      </w:r>
      <w:proofErr w:type="gramStart"/>
      <w:r>
        <w:rPr>
          <w:b/>
          <w:bCs/>
          <w:color w:val="2C2C2C"/>
        </w:rPr>
        <w:t>.</w:t>
      </w:r>
      <w:proofErr w:type="spellStart"/>
      <w:r>
        <w:rPr>
          <w:b/>
          <w:bCs/>
          <w:color w:val="2C2C2C"/>
        </w:rPr>
        <w:t>jeffe</w:t>
      </w:r>
      <w:proofErr w:type="spellEnd"/>
      <w:proofErr w:type="gramEnd"/>
      <w:r>
        <w:rPr>
          <w:b/>
          <w:bCs/>
          <w:color w:val="2C2C2C"/>
        </w:rPr>
        <w:t xml:space="preserve"> Namespace Lifecycle</w:t>
      </w:r>
    </w:p>
    <w:p w14:paraId="23811CA4" w14:textId="77777777" w:rsidR="00C54027" w:rsidRDefault="00424ADE">
      <w:pPr>
        <w:spacing w:after="200" w:line="360" w:lineRule="auto"/>
        <w:jc w:val="both"/>
      </w:pPr>
      <w:r>
        <w:rPr>
          <w:color w:val="2C2C2C"/>
        </w:rPr>
        <w:t xml:space="preserve">State diagram of the pseudonymous namespace system showing the four inscription types (Genesis, Namespace, Merkle Batch, Revocation) and their lifecycle progression. </w:t>
      </w:r>
      <w:r>
        <w:rPr>
          <w:color w:val="2C2C2C"/>
        </w:rPr>
        <w:lastRenderedPageBreak/>
        <w:t>Illustrates the chain-linkage property where each batch inscription references its predecessor.</w:t>
      </w:r>
    </w:p>
    <w:p w14:paraId="2B3472AE" w14:textId="77777777" w:rsidR="00C54027" w:rsidRDefault="00424ADE">
      <w:pPr>
        <w:spacing w:after="200" w:line="360" w:lineRule="auto"/>
      </w:pPr>
      <w:r>
        <w:rPr>
          <w:b/>
          <w:bCs/>
          <w:color w:val="2C2C2C"/>
        </w:rPr>
        <w:t>Figure 6. Rebuild and Recovery Path</w:t>
      </w:r>
    </w:p>
    <w:p w14:paraId="16205268" w14:textId="77777777" w:rsidR="00C54027" w:rsidRDefault="00424ADE">
      <w:pPr>
        <w:spacing w:after="200" w:line="360" w:lineRule="auto"/>
        <w:jc w:val="both"/>
      </w:pPr>
      <w:r>
        <w:rPr>
          <w:color w:val="2C2C2C"/>
        </w:rPr>
        <w:t>Recovery flow diagram demonstrating the cockroach test: reconstruction of complete application state from Bitcoin time chain data alone. Shows the three-stage recovery from Merkle root verification through evidence store reconstruction to application store replay.</w:t>
      </w:r>
    </w:p>
    <w:sectPr w:rsidR="00C5402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9C4C4" w14:textId="77777777" w:rsidR="0053728A" w:rsidRDefault="0053728A">
      <w:r>
        <w:separator/>
      </w:r>
    </w:p>
  </w:endnote>
  <w:endnote w:type="continuationSeparator" w:id="0">
    <w:p w14:paraId="241E5F9A" w14:textId="77777777" w:rsidR="0053728A" w:rsidRDefault="00537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475C4" w14:textId="77777777" w:rsidR="00C54027" w:rsidRDefault="00424ADE">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72E47">
      <w:rPr>
        <w:noProof/>
        <w:color w:val="555555"/>
        <w:sz w:val="18"/>
        <w:szCs w:val="18"/>
      </w:rPr>
      <w:t>7</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F41F" w14:textId="77777777" w:rsidR="00C54027" w:rsidRDefault="00424ADE">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72E47">
      <w:rPr>
        <w:noProof/>
        <w:color w:val="555555"/>
        <w:sz w:val="18"/>
        <w:szCs w:val="18"/>
      </w:rPr>
      <w:t>10</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82359" w14:textId="77777777" w:rsidR="0053728A" w:rsidRDefault="0053728A">
      <w:r>
        <w:separator/>
      </w:r>
    </w:p>
  </w:footnote>
  <w:footnote w:type="continuationSeparator" w:id="0">
    <w:p w14:paraId="0A823CDD" w14:textId="77777777" w:rsidR="0053728A" w:rsidRDefault="00537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74B5" w14:textId="77777777" w:rsidR="00C54027" w:rsidRDefault="00424ADE">
    <w:pPr>
      <w:jc w:val="right"/>
    </w:pPr>
    <w:proofErr w:type="spellStart"/>
    <w:r>
      <w:rPr>
        <w:i/>
        <w:iCs/>
        <w:color w:val="555555"/>
        <w:sz w:val="18"/>
        <w:szCs w:val="18"/>
      </w:rPr>
      <w:t>GrowDirect</w:t>
    </w:r>
    <w:proofErr w:type="spellEnd"/>
    <w:r>
      <w:rPr>
        <w:i/>
        <w:iCs/>
        <w:color w:val="555555"/>
        <w:sz w:val="18"/>
        <w:szCs w:val="18"/>
      </w:rPr>
      <w:t xml:space="preserve"> Inc. — Working Paper —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6E0B6" w14:textId="77777777" w:rsidR="00C54027" w:rsidRDefault="00424ADE">
    <w:pPr>
      <w:jc w:val="right"/>
    </w:pPr>
    <w:proofErr w:type="spellStart"/>
    <w:r>
      <w:rPr>
        <w:i/>
        <w:iCs/>
        <w:color w:val="555555"/>
        <w:sz w:val="18"/>
        <w:szCs w:val="18"/>
      </w:rPr>
      <w:t>GrowDirect</w:t>
    </w:r>
    <w:proofErr w:type="spellEnd"/>
    <w:r>
      <w:rPr>
        <w:i/>
        <w:iCs/>
        <w:color w:val="555555"/>
        <w:sz w:val="18"/>
        <w:szCs w:val="18"/>
      </w:rPr>
      <w:t xml:space="preserve"> Inc. — Working Paper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B392" w14:textId="77777777" w:rsidR="00C54027" w:rsidRDefault="00424ADE">
    <w:pPr>
      <w:jc w:val="right"/>
    </w:pPr>
    <w:proofErr w:type="spellStart"/>
    <w:r>
      <w:rPr>
        <w:i/>
        <w:iCs/>
        <w:color w:val="555555"/>
        <w:sz w:val="18"/>
        <w:szCs w:val="18"/>
      </w:rPr>
      <w:t>GrowDirect</w:t>
    </w:r>
    <w:proofErr w:type="spellEnd"/>
    <w:r>
      <w:rPr>
        <w:i/>
        <w:iCs/>
        <w:color w:val="555555"/>
        <w:sz w:val="18"/>
        <w:szCs w:val="18"/>
      </w:rPr>
      <w:t xml:space="preserve"> Inc. — Working Paper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4404B"/>
    <w:multiLevelType w:val="hybridMultilevel"/>
    <w:tmpl w:val="73889D32"/>
    <w:lvl w:ilvl="0" w:tplc="1D244FE2">
      <w:start w:val="1"/>
      <w:numFmt w:val="bullet"/>
      <w:lvlText w:val="●"/>
      <w:lvlJc w:val="left"/>
      <w:pPr>
        <w:ind w:left="720" w:hanging="360"/>
      </w:pPr>
    </w:lvl>
    <w:lvl w:ilvl="1" w:tplc="E14CA7E0">
      <w:start w:val="1"/>
      <w:numFmt w:val="bullet"/>
      <w:lvlText w:val="○"/>
      <w:lvlJc w:val="left"/>
      <w:pPr>
        <w:ind w:left="1440" w:hanging="360"/>
      </w:pPr>
    </w:lvl>
    <w:lvl w:ilvl="2" w:tplc="B2BC49F2">
      <w:start w:val="1"/>
      <w:numFmt w:val="bullet"/>
      <w:lvlText w:val="■"/>
      <w:lvlJc w:val="left"/>
      <w:pPr>
        <w:ind w:left="2160" w:hanging="360"/>
      </w:pPr>
    </w:lvl>
    <w:lvl w:ilvl="3" w:tplc="1EFE5C80">
      <w:start w:val="1"/>
      <w:numFmt w:val="bullet"/>
      <w:lvlText w:val="●"/>
      <w:lvlJc w:val="left"/>
      <w:pPr>
        <w:ind w:left="2880" w:hanging="360"/>
      </w:pPr>
    </w:lvl>
    <w:lvl w:ilvl="4" w:tplc="32E62F86">
      <w:start w:val="1"/>
      <w:numFmt w:val="bullet"/>
      <w:lvlText w:val="○"/>
      <w:lvlJc w:val="left"/>
      <w:pPr>
        <w:ind w:left="3600" w:hanging="360"/>
      </w:pPr>
    </w:lvl>
    <w:lvl w:ilvl="5" w:tplc="B7024792">
      <w:start w:val="1"/>
      <w:numFmt w:val="bullet"/>
      <w:lvlText w:val="■"/>
      <w:lvlJc w:val="left"/>
      <w:pPr>
        <w:ind w:left="4320" w:hanging="360"/>
      </w:pPr>
    </w:lvl>
    <w:lvl w:ilvl="6" w:tplc="3768E590">
      <w:start w:val="1"/>
      <w:numFmt w:val="bullet"/>
      <w:lvlText w:val="●"/>
      <w:lvlJc w:val="left"/>
      <w:pPr>
        <w:ind w:left="5040" w:hanging="360"/>
      </w:pPr>
    </w:lvl>
    <w:lvl w:ilvl="7" w:tplc="4134F8D6">
      <w:start w:val="1"/>
      <w:numFmt w:val="bullet"/>
      <w:lvlText w:val="●"/>
      <w:lvlJc w:val="left"/>
      <w:pPr>
        <w:ind w:left="5760" w:hanging="360"/>
      </w:pPr>
    </w:lvl>
    <w:lvl w:ilvl="8" w:tplc="D32CB9BC">
      <w:start w:val="1"/>
      <w:numFmt w:val="bullet"/>
      <w:lvlText w:val="●"/>
      <w:lvlJc w:val="left"/>
      <w:pPr>
        <w:ind w:left="6480" w:hanging="360"/>
      </w:pPr>
    </w:lvl>
  </w:abstractNum>
  <w:abstractNum w:abstractNumId="1" w15:restartNumberingAfterBreak="0">
    <w:nsid w:val="5784240B"/>
    <w:multiLevelType w:val="hybridMultilevel"/>
    <w:tmpl w:val="F6A6E942"/>
    <w:lvl w:ilvl="0" w:tplc="2EC80C1E">
      <w:start w:val="1"/>
      <w:numFmt w:val="decimal"/>
      <w:lvlText w:val="%1."/>
      <w:lvlJc w:val="left"/>
      <w:pPr>
        <w:ind w:left="720" w:hanging="360"/>
      </w:pPr>
    </w:lvl>
    <w:lvl w:ilvl="1" w:tplc="4672E73E">
      <w:numFmt w:val="decimal"/>
      <w:lvlText w:val=""/>
      <w:lvlJc w:val="left"/>
    </w:lvl>
    <w:lvl w:ilvl="2" w:tplc="D8F4AA5C">
      <w:numFmt w:val="decimal"/>
      <w:lvlText w:val=""/>
      <w:lvlJc w:val="left"/>
    </w:lvl>
    <w:lvl w:ilvl="3" w:tplc="FA2CED0C">
      <w:numFmt w:val="decimal"/>
      <w:lvlText w:val=""/>
      <w:lvlJc w:val="left"/>
    </w:lvl>
    <w:lvl w:ilvl="4" w:tplc="89E45D74">
      <w:numFmt w:val="decimal"/>
      <w:lvlText w:val=""/>
      <w:lvlJc w:val="left"/>
    </w:lvl>
    <w:lvl w:ilvl="5" w:tplc="A7D65C68">
      <w:numFmt w:val="decimal"/>
      <w:lvlText w:val=""/>
      <w:lvlJc w:val="left"/>
    </w:lvl>
    <w:lvl w:ilvl="6" w:tplc="72E8CEBA">
      <w:numFmt w:val="decimal"/>
      <w:lvlText w:val=""/>
      <w:lvlJc w:val="left"/>
    </w:lvl>
    <w:lvl w:ilvl="7" w:tplc="6E2871EC">
      <w:numFmt w:val="decimal"/>
      <w:lvlText w:val=""/>
      <w:lvlJc w:val="left"/>
    </w:lvl>
    <w:lvl w:ilvl="8" w:tplc="CBD2C892">
      <w:numFmt w:val="decimal"/>
      <w:lvlText w:val=""/>
      <w:lvlJc w:val="left"/>
    </w:lvl>
  </w:abstractNum>
  <w:abstractNum w:abstractNumId="2" w15:restartNumberingAfterBreak="0">
    <w:nsid w:val="60F568E3"/>
    <w:multiLevelType w:val="hybridMultilevel"/>
    <w:tmpl w:val="3A845E94"/>
    <w:lvl w:ilvl="0" w:tplc="F1A4D720">
      <w:start w:val="1"/>
      <w:numFmt w:val="bullet"/>
      <w:lvlText w:val="•"/>
      <w:lvlJc w:val="left"/>
      <w:pPr>
        <w:ind w:left="720" w:hanging="360"/>
      </w:pPr>
    </w:lvl>
    <w:lvl w:ilvl="1" w:tplc="A8EC0E88">
      <w:numFmt w:val="decimal"/>
      <w:lvlText w:val=""/>
      <w:lvlJc w:val="left"/>
    </w:lvl>
    <w:lvl w:ilvl="2" w:tplc="C44AF50E">
      <w:numFmt w:val="decimal"/>
      <w:lvlText w:val=""/>
      <w:lvlJc w:val="left"/>
    </w:lvl>
    <w:lvl w:ilvl="3" w:tplc="B99E9572">
      <w:numFmt w:val="decimal"/>
      <w:lvlText w:val=""/>
      <w:lvlJc w:val="left"/>
    </w:lvl>
    <w:lvl w:ilvl="4" w:tplc="9C1A105E">
      <w:numFmt w:val="decimal"/>
      <w:lvlText w:val=""/>
      <w:lvlJc w:val="left"/>
    </w:lvl>
    <w:lvl w:ilvl="5" w:tplc="5A8E8C6C">
      <w:numFmt w:val="decimal"/>
      <w:lvlText w:val=""/>
      <w:lvlJc w:val="left"/>
    </w:lvl>
    <w:lvl w:ilvl="6" w:tplc="A80EC950">
      <w:numFmt w:val="decimal"/>
      <w:lvlText w:val=""/>
      <w:lvlJc w:val="left"/>
    </w:lvl>
    <w:lvl w:ilvl="7" w:tplc="877E6EB8">
      <w:numFmt w:val="decimal"/>
      <w:lvlText w:val=""/>
      <w:lvlJc w:val="left"/>
    </w:lvl>
    <w:lvl w:ilvl="8" w:tplc="20C6B7B2">
      <w:numFmt w:val="decimal"/>
      <w:lvlText w:val=""/>
      <w:lvlJc w:val="left"/>
    </w:lvl>
  </w:abstractNum>
  <w:abstractNum w:abstractNumId="3" w15:restartNumberingAfterBreak="0">
    <w:nsid w:val="62F92A0D"/>
    <w:multiLevelType w:val="hybridMultilevel"/>
    <w:tmpl w:val="FD484E5E"/>
    <w:lvl w:ilvl="0" w:tplc="ECC60600">
      <w:start w:val="1"/>
      <w:numFmt w:val="decimal"/>
      <w:lvlText w:val="%1."/>
      <w:lvlJc w:val="left"/>
      <w:pPr>
        <w:ind w:left="720" w:hanging="360"/>
      </w:pPr>
    </w:lvl>
    <w:lvl w:ilvl="1" w:tplc="9DFEA6D0">
      <w:numFmt w:val="decimal"/>
      <w:lvlText w:val=""/>
      <w:lvlJc w:val="left"/>
    </w:lvl>
    <w:lvl w:ilvl="2" w:tplc="24508972">
      <w:numFmt w:val="decimal"/>
      <w:lvlText w:val=""/>
      <w:lvlJc w:val="left"/>
    </w:lvl>
    <w:lvl w:ilvl="3" w:tplc="698E03C6">
      <w:numFmt w:val="decimal"/>
      <w:lvlText w:val=""/>
      <w:lvlJc w:val="left"/>
    </w:lvl>
    <w:lvl w:ilvl="4" w:tplc="3CF03DAC">
      <w:numFmt w:val="decimal"/>
      <w:lvlText w:val=""/>
      <w:lvlJc w:val="left"/>
    </w:lvl>
    <w:lvl w:ilvl="5" w:tplc="79D67046">
      <w:numFmt w:val="decimal"/>
      <w:lvlText w:val=""/>
      <w:lvlJc w:val="left"/>
    </w:lvl>
    <w:lvl w:ilvl="6" w:tplc="B5CCCF06">
      <w:numFmt w:val="decimal"/>
      <w:lvlText w:val=""/>
      <w:lvlJc w:val="left"/>
    </w:lvl>
    <w:lvl w:ilvl="7" w:tplc="8D8CAAA0">
      <w:numFmt w:val="decimal"/>
      <w:lvlText w:val=""/>
      <w:lvlJc w:val="left"/>
    </w:lvl>
    <w:lvl w:ilvl="8" w:tplc="503CA860">
      <w:numFmt w:val="decimal"/>
      <w:lvlText w:val=""/>
      <w:lvlJc w:val="left"/>
    </w:lvl>
  </w:abstractNum>
  <w:abstractNum w:abstractNumId="4" w15:restartNumberingAfterBreak="0">
    <w:nsid w:val="74245532"/>
    <w:multiLevelType w:val="hybridMultilevel"/>
    <w:tmpl w:val="714249CC"/>
    <w:lvl w:ilvl="0" w:tplc="909C520E">
      <w:start w:val="1"/>
      <w:numFmt w:val="bullet"/>
      <w:lvlText w:val="•"/>
      <w:lvlJc w:val="left"/>
      <w:pPr>
        <w:ind w:left="720" w:hanging="360"/>
      </w:pPr>
    </w:lvl>
    <w:lvl w:ilvl="1" w:tplc="55A071EE">
      <w:numFmt w:val="decimal"/>
      <w:lvlText w:val=""/>
      <w:lvlJc w:val="left"/>
    </w:lvl>
    <w:lvl w:ilvl="2" w:tplc="1E7CC5A6">
      <w:numFmt w:val="decimal"/>
      <w:lvlText w:val=""/>
      <w:lvlJc w:val="left"/>
    </w:lvl>
    <w:lvl w:ilvl="3" w:tplc="04EC2468">
      <w:numFmt w:val="decimal"/>
      <w:lvlText w:val=""/>
      <w:lvlJc w:val="left"/>
    </w:lvl>
    <w:lvl w:ilvl="4" w:tplc="1DBAE250">
      <w:numFmt w:val="decimal"/>
      <w:lvlText w:val=""/>
      <w:lvlJc w:val="left"/>
    </w:lvl>
    <w:lvl w:ilvl="5" w:tplc="9634E2E4">
      <w:numFmt w:val="decimal"/>
      <w:lvlText w:val=""/>
      <w:lvlJc w:val="left"/>
    </w:lvl>
    <w:lvl w:ilvl="6" w:tplc="FA4CC76C">
      <w:numFmt w:val="decimal"/>
      <w:lvlText w:val=""/>
      <w:lvlJc w:val="left"/>
    </w:lvl>
    <w:lvl w:ilvl="7" w:tplc="FED0388E">
      <w:numFmt w:val="decimal"/>
      <w:lvlText w:val=""/>
      <w:lvlJc w:val="left"/>
    </w:lvl>
    <w:lvl w:ilvl="8" w:tplc="0DBA01EC">
      <w:numFmt w:val="decimal"/>
      <w:lvlText w:val=""/>
      <w:lvlJc w:val="left"/>
    </w:lvl>
  </w:abstractNum>
  <w:abstractNum w:abstractNumId="5" w15:restartNumberingAfterBreak="0">
    <w:nsid w:val="77925EC3"/>
    <w:multiLevelType w:val="hybridMultilevel"/>
    <w:tmpl w:val="6628A8CC"/>
    <w:lvl w:ilvl="0" w:tplc="093A34F4">
      <w:start w:val="1"/>
      <w:numFmt w:val="bullet"/>
      <w:lvlText w:val="•"/>
      <w:lvlJc w:val="left"/>
      <w:pPr>
        <w:ind w:left="720" w:hanging="360"/>
      </w:pPr>
    </w:lvl>
    <w:lvl w:ilvl="1" w:tplc="EC0E7E3E">
      <w:numFmt w:val="decimal"/>
      <w:lvlText w:val=""/>
      <w:lvlJc w:val="left"/>
    </w:lvl>
    <w:lvl w:ilvl="2" w:tplc="A2F88158">
      <w:numFmt w:val="decimal"/>
      <w:lvlText w:val=""/>
      <w:lvlJc w:val="left"/>
    </w:lvl>
    <w:lvl w:ilvl="3" w:tplc="8F9A937E">
      <w:numFmt w:val="decimal"/>
      <w:lvlText w:val=""/>
      <w:lvlJc w:val="left"/>
    </w:lvl>
    <w:lvl w:ilvl="4" w:tplc="BDA05AB8">
      <w:numFmt w:val="decimal"/>
      <w:lvlText w:val=""/>
      <w:lvlJc w:val="left"/>
    </w:lvl>
    <w:lvl w:ilvl="5" w:tplc="DB40CB82">
      <w:numFmt w:val="decimal"/>
      <w:lvlText w:val=""/>
      <w:lvlJc w:val="left"/>
    </w:lvl>
    <w:lvl w:ilvl="6" w:tplc="D19A8A88">
      <w:numFmt w:val="decimal"/>
      <w:lvlText w:val=""/>
      <w:lvlJc w:val="left"/>
    </w:lvl>
    <w:lvl w:ilvl="7" w:tplc="E8D84AD0">
      <w:numFmt w:val="decimal"/>
      <w:lvlText w:val=""/>
      <w:lvlJc w:val="left"/>
    </w:lvl>
    <w:lvl w:ilvl="8" w:tplc="5CC459C6">
      <w:numFmt w:val="decimal"/>
      <w:lvlText w:val=""/>
      <w:lvlJc w:val="left"/>
    </w:lvl>
  </w:abstractNum>
  <w:abstractNum w:abstractNumId="6" w15:restartNumberingAfterBreak="0">
    <w:nsid w:val="7C9520CD"/>
    <w:multiLevelType w:val="hybridMultilevel"/>
    <w:tmpl w:val="1E6A32E2"/>
    <w:lvl w:ilvl="0" w:tplc="7C32F69E">
      <w:start w:val="1"/>
      <w:numFmt w:val="bullet"/>
      <w:lvlText w:val="•"/>
      <w:lvlJc w:val="left"/>
      <w:pPr>
        <w:ind w:left="720" w:hanging="360"/>
      </w:pPr>
    </w:lvl>
    <w:lvl w:ilvl="1" w:tplc="D0BEB36E">
      <w:numFmt w:val="decimal"/>
      <w:lvlText w:val=""/>
      <w:lvlJc w:val="left"/>
    </w:lvl>
    <w:lvl w:ilvl="2" w:tplc="FC0045A6">
      <w:numFmt w:val="decimal"/>
      <w:lvlText w:val=""/>
      <w:lvlJc w:val="left"/>
    </w:lvl>
    <w:lvl w:ilvl="3" w:tplc="49FCBA30">
      <w:numFmt w:val="decimal"/>
      <w:lvlText w:val=""/>
      <w:lvlJc w:val="left"/>
    </w:lvl>
    <w:lvl w:ilvl="4" w:tplc="3478570C">
      <w:numFmt w:val="decimal"/>
      <w:lvlText w:val=""/>
      <w:lvlJc w:val="left"/>
    </w:lvl>
    <w:lvl w:ilvl="5" w:tplc="C0C0080A">
      <w:numFmt w:val="decimal"/>
      <w:lvlText w:val=""/>
      <w:lvlJc w:val="left"/>
    </w:lvl>
    <w:lvl w:ilvl="6" w:tplc="DD42BB7C">
      <w:numFmt w:val="decimal"/>
      <w:lvlText w:val=""/>
      <w:lvlJc w:val="left"/>
    </w:lvl>
    <w:lvl w:ilvl="7" w:tplc="31867306">
      <w:numFmt w:val="decimal"/>
      <w:lvlText w:val=""/>
      <w:lvlJc w:val="left"/>
    </w:lvl>
    <w:lvl w:ilvl="8" w:tplc="37CE6B02">
      <w:numFmt w:val="decimal"/>
      <w:lvlText w:val=""/>
      <w:lvlJc w:val="left"/>
    </w:lvl>
  </w:abstractNum>
  <w:num w:numId="1" w16cid:durableId="289558043">
    <w:abstractNumId w:val="0"/>
    <w:lvlOverride w:ilvl="0">
      <w:startOverride w:val="1"/>
    </w:lvlOverride>
  </w:num>
  <w:num w:numId="2" w16cid:durableId="821700652">
    <w:abstractNumId w:val="6"/>
    <w:lvlOverride w:ilvl="0">
      <w:startOverride w:val="1"/>
    </w:lvlOverride>
  </w:num>
  <w:num w:numId="3" w16cid:durableId="1809274623">
    <w:abstractNumId w:val="2"/>
    <w:lvlOverride w:ilvl="0">
      <w:startOverride w:val="1"/>
    </w:lvlOverride>
  </w:num>
  <w:num w:numId="4" w16cid:durableId="1076782625">
    <w:abstractNumId w:val="1"/>
    <w:lvlOverride w:ilvl="0">
      <w:startOverride w:val="1"/>
    </w:lvlOverride>
  </w:num>
  <w:num w:numId="5" w16cid:durableId="390664007">
    <w:abstractNumId w:val="3"/>
    <w:lvlOverride w:ilvl="0">
      <w:startOverride w:val="1"/>
    </w:lvlOverride>
  </w:num>
  <w:num w:numId="6" w16cid:durableId="2064208469">
    <w:abstractNumId w:val="5"/>
    <w:lvlOverride w:ilvl="0">
      <w:startOverride w:val="1"/>
    </w:lvlOverride>
  </w:num>
  <w:num w:numId="7" w16cid:durableId="58052803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027"/>
    <w:rsid w:val="00424ADE"/>
    <w:rsid w:val="00436E5A"/>
    <w:rsid w:val="00472E47"/>
    <w:rsid w:val="004E42CA"/>
    <w:rsid w:val="0053728A"/>
    <w:rsid w:val="00644FCE"/>
    <w:rsid w:val="00C54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8FFA3A"/>
  <w15:docId w15:val="{029D4E96-AC56-AE4A-A52D-AF472DD9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3A5C"/>
      <w:sz w:val="32"/>
      <w:szCs w:val="32"/>
    </w:rPr>
  </w:style>
  <w:style w:type="paragraph" w:styleId="Heading2">
    <w:name w:val="heading 2"/>
    <w:uiPriority w:val="9"/>
    <w:unhideWhenUsed/>
    <w:qFormat/>
    <w:pPr>
      <w:spacing w:before="360" w:after="180"/>
      <w:outlineLvl w:val="1"/>
    </w:pPr>
    <w:rPr>
      <w:b/>
      <w:bCs/>
      <w:color w:val="1B3A5C"/>
      <w:sz w:val="28"/>
      <w:szCs w:val="28"/>
    </w:rPr>
  </w:style>
  <w:style w:type="paragraph" w:styleId="Heading3">
    <w:name w:val="heading 3"/>
    <w:uiPriority w:val="9"/>
    <w:semiHidden/>
    <w:unhideWhenUsed/>
    <w:qFormat/>
    <w:pPr>
      <w:spacing w:before="240" w:after="120"/>
      <w:outlineLvl w:val="2"/>
    </w:pPr>
    <w:rPr>
      <w:b/>
      <w:bCs/>
      <w:color w:val="1B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2E47"/>
    <w:pPr>
      <w:spacing w:after="100"/>
    </w:pPr>
  </w:style>
  <w:style w:type="paragraph" w:styleId="TOC2">
    <w:name w:val="toc 2"/>
    <w:basedOn w:val="Normal"/>
    <w:next w:val="Normal"/>
    <w:autoRedefine/>
    <w:uiPriority w:val="39"/>
    <w:unhideWhenUsed/>
    <w:rsid w:val="00472E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30</Pages>
  <Words>6497</Words>
  <Characters>38269</Characters>
  <Application>Microsoft Office Word</Application>
  <DocSecurity>0</DocSecurity>
  <Lines>715</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Geoff Lyle</cp:lastModifiedBy>
  <cp:revision>1</cp:revision>
  <cp:lastPrinted>2026-03-03T16:52:00Z</cp:lastPrinted>
  <dcterms:created xsi:type="dcterms:W3CDTF">2026-03-03T16:08:00Z</dcterms:created>
  <dcterms:modified xsi:type="dcterms:W3CDTF">2026-03-06T19:38:00Z</dcterms:modified>
</cp:coreProperties>
</file>