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drawing>
          <wp:inline distT="0" distB="0" distL="0" distR="0">
            <wp:extent cx="952500" cy="952500"/>
            <wp:effectExtent t="0" r="0" b="0" l="0"/>
            <wp:docPr id="1" name="logo" descr="Canary DAO Logo" title="Ca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spacing w:before="400" w:after="80"/>
        <w:jc w:val="center"/>
      </w:pPr>
      <w:r>
        <w:rPr>
          <w:rFonts w:ascii="Arial" w:cs="Arial" w:eastAsia="Arial" w:hAnsi="Arial"/>
          <w:b/>
          <w:bCs/>
          <w:color w:val="0F1923"/>
          <w:sz w:val="48"/>
          <w:szCs w:val="48"/>
        </w:rPr>
        <w:t xml:space="preserve">CANARY DAO LLC</w:t>
      </w:r>
    </w:p>
    <w:p>
      <w:pPr>
        <w:spacing w:after="60"/>
        <w:jc w:val="center"/>
      </w:pPr>
      <w:r>
        <w:rPr>
          <w:rFonts w:ascii="Arial" w:cs="Arial" w:eastAsia="Arial" w:hAnsi="Arial"/>
          <w:color w:val="D97706"/>
          <w:sz w:val="32"/>
          <w:szCs w:val="32"/>
        </w:rPr>
        <w:t xml:space="preserve">White Paper</w:t>
      </w:r>
    </w:p>
    <w:p>
      <w:pPr>
        <w:spacing w:after="200"/>
        <w:jc w:val="center"/>
      </w:pPr>
      <w:r>
        <w:rPr>
          <w:rFonts w:ascii="Arial" w:cs="Arial" w:eastAsia="Arial" w:hAnsi="Arial"/>
          <w:i/>
          <w:iCs/>
          <w:color w:val="64748B"/>
          <w:sz w:val="24"/>
          <w:szCs w:val="24"/>
        </w:rPr>
        <w:t xml:space="preserve">The Early Warning System for Retail Shrink</w:t>
      </w:r>
    </w:p>
    <w:p>
      <w:pPr>
        <w:spacing w:after="80"/>
        <w:jc w:val="center"/>
      </w:pPr>
      <w:r>
        <w:rPr>
          <w:rFonts w:ascii="Arial" w:cs="Arial" w:eastAsia="Arial" w:hAnsi="Arial"/>
          <w:color w:val="94A3B8"/>
          <w:sz w:val="20"/>
          <w:szCs w:val="20"/>
        </w:rPr>
        <w:t xml:space="preserve">Bitcoin-Native Loss Prevention Analytics for the 33 Million Businesses That Need It Most</w:t>
      </w:r>
    </w:p>
    <w:p>
      <w:pPr>
        <w:spacing w:after="600"/>
        <w:jc w:val="center"/>
      </w:pPr>
      <w:r>
        <w:rPr>
          <w:rFonts w:ascii="Arial" w:cs="Arial" w:eastAsia="Arial" w:hAnsi="Arial"/>
          <w:color w:val="64748B"/>
          <w:sz w:val="18"/>
          <w:szCs w:val="18"/>
        </w:rPr>
        <w:t xml:space="preserve">February 2026  |  Version 1.3  |  Classified R&amp;D</w:t>
      </w:r>
    </w:p>
    <w:p>
      <w:r>
        <w:br w:type="page"/>
      </w:r>
    </w:p>
    <w:p>
      <w:pPr>
        <w:pStyle w:val="Heading1"/>
        <w:spacing w:before="360" w:after="200"/>
      </w:pPr>
      <w:r>
        <w:rPr>
          <w:rFonts w:ascii="Arial" w:cs="Arial" w:eastAsia="Arial" w:hAnsi="Arial"/>
          <w:b/>
          <w:bCs/>
          <w:color w:val="0F1923"/>
          <w:sz w:val="36"/>
          <w:szCs w:val="36"/>
        </w:rPr>
        <w:t xml:space="preserve">1. The $112 Billion Problem</w:t>
      </w:r>
    </w:p>
    <w:p>
      <w:pPr>
        <w:spacing w:after="160"/>
      </w:pPr>
      <w:r>
        <w:rPr>
          <w:rFonts w:ascii="Arial" w:cs="Arial" w:eastAsia="Arial" w:hAnsi="Arial"/>
          <w:color w:val="1E293B"/>
          <w:sz w:val="22"/>
          <w:szCs w:val="22"/>
        </w:rPr>
        <w:t xml:space="preserve">Retail shrinkage — the gap between expected and actual inventory — cost U.S. retailers $112.1 billion in 2023, according to the National Retail Federation. That figure has grown to an estimated $132 billion globally in 2024, and the trajectory is accelerating. Organized retail crime incidents rose 57% between 2022 and 2023. Self-checkout shrink rates run at 3.5% versus 0.2% for staffed lanes. Violence tied to shoplifting is up 42%.</w:t>
      </w:r>
    </w:p>
    <w:p>
      <w:pPr>
        <w:spacing w:after="160"/>
      </w:pPr>
      <w:r>
        <w:rPr>
          <w:rFonts w:ascii="Arial" w:cs="Arial" w:eastAsia="Arial" w:hAnsi="Arial"/>
          <w:color w:val="1E293B"/>
          <w:sz w:val="22"/>
          <w:szCs w:val="22"/>
        </w:rPr>
        <w:t xml:space="preserve">Enterprise retailers have responded with sophisticated loss prevention platforms — exception-based reporting systems, transaction analytics engines, and dedicated LP teams. Fortune 500 retailers spend millions annually on these tools and the analysts to operate them.</w:t>
      </w:r>
    </w:p>
    <w:p>
      <w:pPr>
        <w:spacing w:before="200" w:after="200"/>
        <w:ind w:left="360" w:right="360"/>
      </w:pPr>
      <w:r>
        <w:rPr>
          <w:rFonts w:ascii="Arial" w:cs="Arial" w:eastAsia="Arial" w:hAnsi="Arial"/>
          <w:b/>
          <w:bCs/>
          <w:i/>
          <w:iCs/>
          <w:color w:val="D97706"/>
          <w:sz w:val="24"/>
          <w:szCs w:val="24"/>
        </w:rPr>
        <w:t xml:space="preserve">Small and mid-size retailers get nothing.</w:t>
      </w:r>
    </w:p>
    <w:p>
      <w:pPr>
        <w:spacing w:after="160"/>
      </w:pPr>
      <w:r>
        <w:rPr>
          <w:rFonts w:ascii="Arial" w:cs="Arial" w:eastAsia="Arial" w:hAnsi="Arial"/>
          <w:color w:val="1E293B"/>
          <w:sz w:val="22"/>
          <w:szCs w:val="22"/>
        </w:rPr>
        <w:t xml:space="preserve">The 33 million small businesses in the United States — the coffee shops, boutiques, convenience stores, and independent retailers that form the backbone of the American economy — have no access to the analytical tools that protect their larger competitors. A recent BusinessWire survey found that 68% of SMB retailers are experiencing shrink rates above the industry average of 1.5%. Software Advice reports that 34% of SMBs have seen shrink increase in the past 12 months, and 88% of those experiencing theft now consider loss prevention a top priority.</w:t>
      </w:r>
    </w:p>
    <w:p>
      <w:pPr>
        <w:spacing w:after="160"/>
      </w:pPr>
      <w:r>
        <w:rPr>
          <w:rFonts w:ascii="Arial" w:cs="Arial" w:eastAsia="Arial" w:hAnsi="Arial"/>
          <w:color w:val="1E293B"/>
          <w:sz w:val="22"/>
          <w:szCs w:val="22"/>
        </w:rPr>
        <w:t xml:space="preserve">But what are their options? Enterprise LP platforms are built for Fortune 500 budgets and require dedicated analysts. Consumer-grade security cameras catch incidents after the fact but cannot surface the patterns hidden in transactional data — the refund anomalies, void patterns, discount abuse, and cash handling irregularities that represent the vast majority of preventable shrink.</w:t>
      </w:r>
    </w:p>
    <w:p>
      <w:pPr>
        <w:spacing w:after="160"/>
      </w:pPr>
      <w:r>
        <w:rPr>
          <w:rFonts w:ascii="Arial" w:cs="Arial" w:eastAsia="Arial" w:hAnsi="Arial"/>
          <w:color w:val="1E293B"/>
          <w:sz w:val="22"/>
          <w:szCs w:val="22"/>
        </w:rPr>
        <w:t xml:space="preserve">This is the gap Canary fills.</w:t>
      </w:r>
    </w:p>
    <w:p>
      <w:r>
        <w:br w:type="page"/>
      </w:r>
    </w:p>
    <w:p>
      <w:pPr>
        <w:pStyle w:val="Heading1"/>
        <w:spacing w:before="360" w:after="200"/>
      </w:pPr>
      <w:r>
        <w:rPr>
          <w:rFonts w:ascii="Arial" w:cs="Arial" w:eastAsia="Arial" w:hAnsi="Arial"/>
          <w:b/>
          <w:bCs/>
          <w:color w:val="0F1923"/>
          <w:sz w:val="36"/>
          <w:szCs w:val="36"/>
        </w:rPr>
        <w:t xml:space="preserve">2. The Canary Solution</w:t>
      </w:r>
    </w:p>
    <w:p>
      <w:pPr>
        <w:spacing w:after="160"/>
      </w:pPr>
      <w:r>
        <w:rPr>
          <w:rFonts w:ascii="Arial" w:cs="Arial" w:eastAsia="Arial" w:hAnsi="Arial"/>
          <w:color w:val="1E293B"/>
          <w:sz w:val="22"/>
          <w:szCs w:val="22"/>
        </w:rPr>
        <w:t xml:space="preserve">Canary is an automated loss prevention analytics platform that connects directly to a merchant’s point-of-sale system via published APIs, ingests transactional data in near-real-time, computes a proprietary set of risk metrics, and surfaces actionable alerts when anomalous patterns emerge — all without requiring any LP expertise from the merchant.</w:t>
      </w:r>
    </w:p>
    <w:p>
      <w:pPr>
        <w:pStyle w:val="Heading2"/>
        <w:spacing w:before="280" w:after="160"/>
      </w:pPr>
      <w:r>
        <w:rPr>
          <w:rFonts w:ascii="Arial" w:cs="Arial" w:eastAsia="Arial" w:hAnsi="Arial"/>
          <w:b/>
          <w:bCs/>
          <w:color w:val="D97706"/>
          <w:sz w:val="28"/>
          <w:szCs w:val="28"/>
        </w:rPr>
        <w:t xml:space="preserve">2.1 How It Works</w:t>
      </w:r>
    </w:p>
    <w:p>
      <w:pPr>
        <w:pStyle w:val="ListParagraph"/>
        <w:numPr>
          <w:ilvl w:val="0"/>
          <w:numId w:val="2"/>
        </w:numPr>
        <w:spacing w:after="100"/>
      </w:pPr>
      <w:r>
        <w:rPr>
          <w:rFonts w:ascii="Arial" w:cs="Arial" w:eastAsia="Arial" w:hAnsi="Arial"/>
          <w:b/>
          <w:bCs/>
          <w:color w:val="1E293B"/>
          <w:sz w:val="22"/>
          <w:szCs w:val="22"/>
        </w:rPr>
        <w:t xml:space="preserve">Connect: </w:t>
      </w:r>
      <w:r>
        <w:rPr>
          <w:rFonts w:ascii="Arial" w:cs="Arial" w:eastAsia="Arial" w:hAnsi="Arial"/>
          <w:color w:val="1E293B"/>
          <w:sz w:val="22"/>
          <w:szCs w:val="22"/>
        </w:rPr>
        <w:t xml:space="preserve">Merchant authorizes Canary to read their POS data via OAuth (Square, Shopify, Clover). Read-only access. Canary never modifies their data.</w:t>
      </w:r>
    </w:p>
    <w:p>
      <w:pPr>
        <w:pStyle w:val="ListParagraph"/>
        <w:numPr>
          <w:ilvl w:val="0"/>
          <w:numId w:val="2"/>
        </w:numPr>
        <w:spacing w:after="100"/>
      </w:pPr>
      <w:r>
        <w:rPr>
          <w:rFonts w:ascii="Arial" w:cs="Arial" w:eastAsia="Arial" w:hAnsi="Arial"/>
          <w:b/>
          <w:bCs/>
          <w:color w:val="1E293B"/>
          <w:sz w:val="22"/>
          <w:szCs w:val="22"/>
        </w:rPr>
        <w:t xml:space="preserve">Ingest: </w:t>
      </w:r>
      <w:r>
        <w:rPr>
          <w:rFonts w:ascii="Arial" w:cs="Arial" w:eastAsia="Arial" w:hAnsi="Arial"/>
          <w:color w:val="1E293B"/>
          <w:sz w:val="22"/>
          <w:szCs w:val="22"/>
        </w:rPr>
        <w:t xml:space="preserve">Canary pulls 90 days of transaction history and begins receiving real-time webhook events for every sale, refund, void, discount, and cash drawer shift.</w:t>
      </w:r>
    </w:p>
    <w:p>
      <w:pPr>
        <w:pStyle w:val="ListParagraph"/>
        <w:numPr>
          <w:ilvl w:val="0"/>
          <w:numId w:val="2"/>
        </w:numPr>
        <w:spacing w:after="100"/>
      </w:pPr>
      <w:r>
        <w:rPr>
          <w:rFonts w:ascii="Arial" w:cs="Arial" w:eastAsia="Arial" w:hAnsi="Arial"/>
          <w:b/>
          <w:bCs/>
          <w:color w:val="1E293B"/>
          <w:sz w:val="22"/>
          <w:szCs w:val="22"/>
        </w:rPr>
        <w:t xml:space="preserve">Analyze: </w:t>
      </w:r>
      <w:r>
        <w:rPr>
          <w:rFonts w:ascii="Arial" w:cs="Arial" w:eastAsia="Arial" w:hAnsi="Arial"/>
          <w:color w:val="1E293B"/>
          <w:sz w:val="22"/>
          <w:szCs w:val="22"/>
        </w:rPr>
        <w:t xml:space="preserve">Canary’s proprietary metric engine computes 27+ risk metrics across five detection domains: refunds, voids/cancels, discounts, cash handling, and transaction patterns. Metrics are evaluated at the employee, location, and device level.</w:t>
      </w:r>
    </w:p>
    <w:p>
      <w:pPr>
        <w:pStyle w:val="ListParagraph"/>
        <w:numPr>
          <w:ilvl w:val="0"/>
          <w:numId w:val="2"/>
        </w:numPr>
        <w:spacing w:after="100"/>
      </w:pPr>
      <w:r>
        <w:rPr>
          <w:rFonts w:ascii="Arial" w:cs="Arial" w:eastAsia="Arial" w:hAnsi="Arial"/>
          <w:b/>
          <w:bCs/>
          <w:color w:val="1E293B"/>
          <w:sz w:val="22"/>
          <w:szCs w:val="22"/>
        </w:rPr>
        <w:t xml:space="preserve">Alert: </w:t>
      </w:r>
      <w:r>
        <w:rPr>
          <w:rFonts w:ascii="Arial" w:cs="Arial" w:eastAsia="Arial" w:hAnsi="Arial"/>
          <w:color w:val="1E293B"/>
          <w:sz w:val="22"/>
          <w:szCs w:val="22"/>
        </w:rPr>
        <w:t xml:space="preserve">When metrics exceed statistical thresholds or composite Key Activity Profile (KAP) scores cross severity tiers, Canary generates actionable alerts with estimated dollar exposure, delivered via dashboard, email, and SMS.</w:t>
      </w:r>
    </w:p>
    <w:p>
      <w:pPr>
        <w:pStyle w:val="ListParagraph"/>
        <w:numPr>
          <w:ilvl w:val="0"/>
          <w:numId w:val="2"/>
        </w:numPr>
        <w:spacing w:after="100"/>
      </w:pPr>
      <w:r>
        <w:rPr>
          <w:rFonts w:ascii="Arial" w:cs="Arial" w:eastAsia="Arial" w:hAnsi="Arial"/>
          <w:b/>
          <w:bCs/>
          <w:color w:val="1E293B"/>
          <w:sz w:val="22"/>
          <w:szCs w:val="22"/>
        </w:rPr>
        <w:t xml:space="preserve">Benchmark: </w:t>
      </w:r>
      <w:r>
        <w:rPr>
          <w:rFonts w:ascii="Arial" w:cs="Arial" w:eastAsia="Arial" w:hAnsi="Arial"/>
          <w:color w:val="1E293B"/>
          <w:sz w:val="22"/>
          <w:szCs w:val="22"/>
        </w:rPr>
        <w:t xml:space="preserve">Anonymized cross-domain aggregation lets every merchant see where they stand relative to Canary’s network-wide benchmarks — industry-grade peer comparison that has never been available to small businesses.</w:t>
      </w:r>
    </w:p>
    <w:p>
      <w:pPr>
        <w:pStyle w:val="Heading2"/>
        <w:spacing w:before="280" w:after="160"/>
      </w:pPr>
      <w:r>
        <w:rPr>
          <w:rFonts w:ascii="Arial" w:cs="Arial" w:eastAsia="Arial" w:hAnsi="Arial"/>
          <w:b/>
          <w:bCs/>
          <w:color w:val="D97706"/>
          <w:sz w:val="28"/>
          <w:szCs w:val="28"/>
        </w:rPr>
        <w:t xml:space="preserve">2.2 The Canary Difference</w:t>
      </w:r>
    </w:p>
    <w:p>
      <w:pPr>
        <w:spacing w:after="160"/>
      </w:pPr>
      <w:r>
        <w:rPr>
          <w:rFonts w:ascii="Arial" w:cs="Arial" w:eastAsia="Arial" w:hAnsi="Arial"/>
          <w:color w:val="1E293B"/>
          <w:sz w:val="22"/>
          <w:szCs w:val="22"/>
        </w:rPr>
        <w:t xml:space="preserve">Canary is not a camera system, a POS plugin, or a consulting engagement. It is a purpose-built analytics engine that treats transactional data as the primary evidence layer for loss prevention. The platform is designed from the ground up for three things no existing SMB solution delivers:</w:t>
      </w:r>
    </w:p>
    <w:p>
      <w:pPr>
        <w:pStyle w:val="ListParagraph"/>
        <w:numPr>
          <w:ilvl w:val="0"/>
          <w:numId w:val="2"/>
        </w:numPr>
        <w:spacing w:after="100"/>
      </w:pPr>
      <w:r>
        <w:rPr>
          <w:rFonts w:ascii="Arial" w:cs="Arial" w:eastAsia="Arial" w:hAnsi="Arial"/>
          <w:b/>
          <w:bCs/>
          <w:color w:val="1E293B"/>
          <w:sz w:val="22"/>
          <w:szCs w:val="22"/>
        </w:rPr>
        <w:t xml:space="preserve">Automated detection: </w:t>
      </w:r>
      <w:r>
        <w:rPr>
          <w:rFonts w:ascii="Arial" w:cs="Arial" w:eastAsia="Arial" w:hAnsi="Arial"/>
          <w:color w:val="1E293B"/>
          <w:sz w:val="22"/>
          <w:szCs w:val="22"/>
        </w:rPr>
        <w:t xml:space="preserve">No analysts required. Canary’s metric engine and KAP scoring models run continuously, surfacing risk without human configuration.</w:t>
      </w:r>
    </w:p>
    <w:p>
      <w:pPr>
        <w:pStyle w:val="ListParagraph"/>
        <w:numPr>
          <w:ilvl w:val="0"/>
          <w:numId w:val="2"/>
        </w:numPr>
        <w:spacing w:after="100"/>
      </w:pPr>
      <w:r>
        <w:rPr>
          <w:rFonts w:ascii="Arial" w:cs="Arial" w:eastAsia="Arial" w:hAnsi="Arial"/>
          <w:b/>
          <w:bCs/>
          <w:color w:val="1E293B"/>
          <w:sz w:val="22"/>
          <w:szCs w:val="22"/>
        </w:rPr>
        <w:t xml:space="preserve">POS-native integration: </w:t>
      </w:r>
      <w:r>
        <w:rPr>
          <w:rFonts w:ascii="Arial" w:cs="Arial" w:eastAsia="Arial" w:hAnsi="Arial"/>
          <w:color w:val="1E293B"/>
          <w:sz w:val="22"/>
          <w:szCs w:val="22"/>
        </w:rPr>
        <w:t xml:space="preserve">Built on modern POS APIs (Square, Shopify, Clover). No hardware. No data feeds. No IT department. Connect in under 60 seconds.</w:t>
      </w:r>
    </w:p>
    <w:p>
      <w:pPr>
        <w:pStyle w:val="ListParagraph"/>
        <w:numPr>
          <w:ilvl w:val="0"/>
          <w:numId w:val="2"/>
        </w:numPr>
        <w:spacing w:after="100"/>
      </w:pPr>
      <w:r>
        <w:rPr>
          <w:rFonts w:ascii="Arial" w:cs="Arial" w:eastAsia="Arial" w:hAnsi="Arial"/>
          <w:b/>
          <w:bCs/>
          <w:color w:val="1E293B"/>
          <w:sz w:val="22"/>
          <w:szCs w:val="22"/>
        </w:rPr>
        <w:t xml:space="preserve">Network intelligence: </w:t>
      </w:r>
      <w:r>
        <w:rPr>
          <w:rFonts w:ascii="Arial" w:cs="Arial" w:eastAsia="Arial" w:hAnsi="Arial"/>
          <w:color w:val="1E293B"/>
          <w:sz w:val="22"/>
          <w:szCs w:val="22"/>
        </w:rPr>
        <w:t xml:space="preserve">Every merchant benefits from anonymized benchmarks across the entire Canary customer base. The more merchants that join, the smarter every individual Canary gets.</w:t>
      </w:r>
    </w:p>
    <w:p>
      <w:r>
        <w:br w:type="page"/>
      </w:r>
    </w:p>
    <w:p>
      <w:pPr>
        <w:pStyle w:val="Heading1"/>
        <w:spacing w:before="360" w:after="200"/>
      </w:pPr>
      <w:r>
        <w:rPr>
          <w:rFonts w:ascii="Arial" w:cs="Arial" w:eastAsia="Arial" w:hAnsi="Arial"/>
          <w:b/>
          <w:bCs/>
          <w:color w:val="0F1923"/>
          <w:sz w:val="36"/>
          <w:szCs w:val="36"/>
        </w:rPr>
        <w:t xml:space="preserve">3. Market Opportunity</w:t>
      </w:r>
    </w:p>
    <w:p>
      <w:pPr>
        <w:pStyle w:val="Heading2"/>
        <w:spacing w:before="280" w:after="160"/>
      </w:pPr>
      <w:r>
        <w:rPr>
          <w:rFonts w:ascii="Arial" w:cs="Arial" w:eastAsia="Arial" w:hAnsi="Arial"/>
          <w:b/>
          <w:bCs/>
          <w:color w:val="D97706"/>
          <w:sz w:val="28"/>
          <w:szCs w:val="28"/>
        </w:rPr>
        <w:t xml:space="preserve">3.1 Total Addressable Market</w:t>
      </w:r>
    </w:p>
    <w:p>
      <w:pPr>
        <w:spacing w:after="160"/>
      </w:pPr>
      <w:r>
        <w:rPr>
          <w:rFonts w:ascii="Arial" w:cs="Arial" w:eastAsia="Arial" w:hAnsi="Arial"/>
          <w:color w:val="1E293B"/>
          <w:sz w:val="22"/>
          <w:szCs w:val="22"/>
        </w:rPr>
        <w:t xml:space="preserve">The U.S. retail loss prevention technology market is estimated at $4.8 billion annually and growing at 8-10% CAGR. However, the vast majority of this spend is concentrated among the top 200 enterprise retailers. The SMB segment — retailers with 1-50 locations — is dramatically underserved.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Market Segment</w:t>
            </w:r>
          </w:p>
        </w:tc>
        <w:tc>
          <w:tcPr>
            <w:tcW w:type="dxa" w:w="312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Canary Opportunity</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U.S. retail businesses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3.8 million establishments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TAM: 3.8M potential customers</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SMB retail (1-50 locations)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~3.6 million businesses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SAM: primary target market</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Square merchants (active)</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~4 million sellers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SOM Year 1: 200 merchants</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Annual shrink (SMB segment)</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~$45-60 billion</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Addressable by analytics: ~30%</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SMB LP spend today</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~$200-500/yr (cameras only)</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Canary: $49-199/mo per location</w:t>
            </w:r>
          </w:p>
        </w:tc>
      </w:tr>
    </w:tbl>
    <w:p>
      <w:pPr>
        <w:spacing w:after="200"/>
      </w:pPr>
    </w:p>
    <w:p>
      <w:pPr>
        <w:pStyle w:val="Heading2"/>
        <w:spacing w:before="280" w:after="160"/>
      </w:pPr>
      <w:r>
        <w:rPr>
          <w:rFonts w:ascii="Arial" w:cs="Arial" w:eastAsia="Arial" w:hAnsi="Arial"/>
          <w:b/>
          <w:bCs/>
          <w:color w:val="D97706"/>
          <w:sz w:val="28"/>
          <w:szCs w:val="28"/>
        </w:rPr>
        <w:t xml:space="preserve">3.2 Why Now</w:t>
      </w:r>
    </w:p>
    <w:p>
      <w:pPr>
        <w:pStyle w:val="ListParagraph"/>
        <w:numPr>
          <w:ilvl w:val="0"/>
          <w:numId w:val="2"/>
        </w:numPr>
        <w:spacing w:after="100"/>
      </w:pPr>
      <w:r>
        <w:rPr>
          <w:rFonts w:ascii="Arial" w:cs="Arial" w:eastAsia="Arial" w:hAnsi="Arial"/>
          <w:b/>
          <w:bCs/>
          <w:color w:val="1E293B"/>
          <w:sz w:val="22"/>
          <w:szCs w:val="22"/>
        </w:rPr>
        <w:t xml:space="preserve">Modern POS APIs exist: </w:t>
      </w:r>
      <w:r>
        <w:rPr>
          <w:rFonts w:ascii="Arial" w:cs="Arial" w:eastAsia="Arial" w:hAnsi="Arial"/>
          <w:color w:val="1E293B"/>
          <w:sz w:val="22"/>
          <w:szCs w:val="22"/>
        </w:rPr>
        <w:t xml:space="preserve">Square, Shopify, and Clover now expose rich transactional data via webhooks and REST APIs. Five years ago, this data was locked inside proprietary POS databases accessible only via direct tlog feeds — a barrier that kept LP analytics exclusive to enterprise.</w:t>
      </w:r>
    </w:p>
    <w:p>
      <w:pPr>
        <w:pStyle w:val="ListParagraph"/>
        <w:numPr>
          <w:ilvl w:val="0"/>
          <w:numId w:val="2"/>
        </w:numPr>
        <w:spacing w:after="100"/>
      </w:pPr>
      <w:r>
        <w:rPr>
          <w:rFonts w:ascii="Arial" w:cs="Arial" w:eastAsia="Arial" w:hAnsi="Arial"/>
          <w:b/>
          <w:bCs/>
          <w:color w:val="1E293B"/>
          <w:sz w:val="22"/>
          <w:szCs w:val="22"/>
        </w:rPr>
        <w:t xml:space="preserve">SMB digital adoption has accelerated: </w:t>
      </w:r>
      <w:r>
        <w:rPr>
          <w:rFonts w:ascii="Arial" w:cs="Arial" w:eastAsia="Arial" w:hAnsi="Arial"/>
          <w:color w:val="1E293B"/>
          <w:sz w:val="22"/>
          <w:szCs w:val="22"/>
        </w:rPr>
        <w:t xml:space="preserve">Post-pandemic, SMB adoption of cloud POS systems surged. Square alone serves 4 million active sellers. These merchants are already generating the data Canary needs — they just need someone to analyze it.</w:t>
      </w:r>
    </w:p>
    <w:p>
      <w:pPr>
        <w:pStyle w:val="ListParagraph"/>
        <w:numPr>
          <w:ilvl w:val="0"/>
          <w:numId w:val="2"/>
        </w:numPr>
        <w:spacing w:after="100"/>
      </w:pPr>
      <w:r>
        <w:rPr>
          <w:rFonts w:ascii="Arial" w:cs="Arial" w:eastAsia="Arial" w:hAnsi="Arial"/>
          <w:b/>
          <w:bCs/>
          <w:color w:val="1E293B"/>
          <w:sz w:val="22"/>
          <w:szCs w:val="22"/>
        </w:rPr>
        <w:t xml:space="preserve">Shrink is worsening for SMBs: </w:t>
      </w:r>
      <w:r>
        <w:rPr>
          <w:rFonts w:ascii="Arial" w:cs="Arial" w:eastAsia="Arial" w:hAnsi="Arial"/>
          <w:color w:val="1E293B"/>
          <w:sz w:val="22"/>
          <w:szCs w:val="22"/>
        </w:rPr>
        <w:t xml:space="preserve">With organized retail crime up 57% and SMBs disproportionately impacted (68% experiencing above-average shrink), the urgency for accessible LP tools has never been higher.</w:t>
      </w:r>
    </w:p>
    <w:p>
      <w:pPr>
        <w:pStyle w:val="ListParagraph"/>
        <w:numPr>
          <w:ilvl w:val="0"/>
          <w:numId w:val="2"/>
        </w:numPr>
        <w:spacing w:after="100"/>
      </w:pPr>
      <w:r>
        <w:rPr>
          <w:rFonts w:ascii="Arial" w:cs="Arial" w:eastAsia="Arial" w:hAnsi="Arial"/>
          <w:b/>
          <w:bCs/>
          <w:color w:val="1E293B"/>
          <w:sz w:val="22"/>
          <w:szCs w:val="22"/>
        </w:rPr>
        <w:t xml:space="preserve">Bitcoin payment rails are ready: </w:t>
      </w:r>
      <w:r>
        <w:rPr>
          <w:rFonts w:ascii="Arial" w:cs="Arial" w:eastAsia="Arial" w:hAnsi="Arial"/>
          <w:color w:val="1E293B"/>
          <w:sz w:val="22"/>
          <w:szCs w:val="22"/>
        </w:rPr>
        <w:t xml:space="preserve">The Lightning Network has matured to the point where instant, low-cost subscription billing is viable at scale. Block (Square’s parent company) is deploying Lightning-powered payments to its merchant base in 2026.</w:t>
      </w:r>
    </w:p>
    <w:p>
      <w:r>
        <w:br w:type="page"/>
      </w:r>
    </w:p>
    <w:p>
      <w:pPr>
        <w:pStyle w:val="Heading1"/>
        <w:spacing w:before="360" w:after="200"/>
      </w:pPr>
      <w:r>
        <w:rPr>
          <w:rFonts w:ascii="Arial" w:cs="Arial" w:eastAsia="Arial" w:hAnsi="Arial"/>
          <w:b/>
          <w:bCs/>
          <w:color w:val="0F1923"/>
          <w:sz w:val="36"/>
          <w:szCs w:val="36"/>
        </w:rPr>
        <w:t xml:space="preserve">4. Why a DAO</w:t>
      </w:r>
    </w:p>
    <w:p>
      <w:pPr>
        <w:spacing w:after="160"/>
      </w:pPr>
      <w:r>
        <w:rPr>
          <w:rFonts w:ascii="Arial" w:cs="Arial" w:eastAsia="Arial" w:hAnsi="Arial"/>
          <w:color w:val="1E293B"/>
          <w:sz w:val="22"/>
          <w:szCs w:val="22"/>
        </w:rPr>
        <w:t xml:space="preserve">Canary is structured as a Decentralized Autonomous Organization LLC under Wyoming law (W.S. 17-31-101 through 17-31-115). This is a deliberate structural choice that aligns the company’s governance with its technical architecture and financial philosophy.</w:t>
      </w:r>
    </w:p>
    <w:p>
      <w:pPr>
        <w:pStyle w:val="Heading2"/>
        <w:spacing w:before="280" w:after="160"/>
      </w:pPr>
      <w:r>
        <w:rPr>
          <w:rFonts w:ascii="Arial" w:cs="Arial" w:eastAsia="Arial" w:hAnsi="Arial"/>
          <w:b/>
          <w:bCs/>
          <w:color w:val="D97706"/>
          <w:sz w:val="28"/>
          <w:szCs w:val="28"/>
        </w:rPr>
        <w:t xml:space="preserve">4.1 What Is a DAO LLC</w:t>
      </w:r>
    </w:p>
    <w:p>
      <w:pPr>
        <w:spacing w:after="160"/>
      </w:pPr>
      <w:r>
        <w:rPr>
          <w:rFonts w:ascii="Arial" w:cs="Arial" w:eastAsia="Arial" w:hAnsi="Arial"/>
          <w:color w:val="1E293B"/>
          <w:sz w:val="22"/>
          <w:szCs w:val="22"/>
        </w:rPr>
        <w:t xml:space="preserve">A DAO LLC is a limited liability company whose operating agreement incorporates smart contract-based governance. Members participate in decisions through on-chain or off-chain voting mechanisms. The entity enjoys the same legal recognition as a traditional LLC — it can own assets, enter contracts, sue and be sued, and provide limited liability protection to its members — while enabling transparent, programmable governance.</w:t>
      </w:r>
    </w:p>
    <w:p>
      <w:pPr>
        <w:spacing w:after="160"/>
      </w:pPr>
      <w:r>
        <w:rPr>
          <w:rFonts w:ascii="Arial" w:cs="Arial" w:eastAsia="Arial" w:hAnsi="Arial"/>
          <w:color w:val="1E293B"/>
          <w:sz w:val="22"/>
          <w:szCs w:val="22"/>
        </w:rPr>
        <w:t xml:space="preserve">Wyoming became the first U.S. state to formally recognize DAO LLCs in 2021. The framework provides:</w:t>
      </w:r>
    </w:p>
    <w:p>
      <w:pPr>
        <w:pStyle w:val="ListParagraph"/>
        <w:numPr>
          <w:ilvl w:val="0"/>
          <w:numId w:val="2"/>
        </w:numPr>
        <w:spacing w:after="100"/>
      </w:pPr>
      <w:r>
        <w:rPr>
          <w:rFonts w:ascii="Arial" w:cs="Arial" w:eastAsia="Arial" w:hAnsi="Arial"/>
          <w:b/>
          <w:bCs/>
          <w:color w:val="1E293B"/>
          <w:sz w:val="22"/>
          <w:szCs w:val="22"/>
        </w:rPr>
        <w:t xml:space="preserve">Limited liability: </w:t>
      </w:r>
      <w:r>
        <w:rPr>
          <w:rFonts w:ascii="Arial" w:cs="Arial" w:eastAsia="Arial" w:hAnsi="Arial"/>
          <w:color w:val="1E293B"/>
          <w:sz w:val="22"/>
          <w:szCs w:val="22"/>
        </w:rPr>
        <w:t xml:space="preserve">Members are shielded from personal liability for the DAO’s obligations. Without a legal wrapper, DAO participants operate as a general partnership with unlimited personal liability.</w:t>
      </w:r>
    </w:p>
    <w:p>
      <w:pPr>
        <w:pStyle w:val="ListParagraph"/>
        <w:numPr>
          <w:ilvl w:val="0"/>
          <w:numId w:val="2"/>
        </w:numPr>
        <w:spacing w:after="100"/>
      </w:pPr>
      <w:r>
        <w:rPr>
          <w:rFonts w:ascii="Arial" w:cs="Arial" w:eastAsia="Arial" w:hAnsi="Arial"/>
          <w:b/>
          <w:bCs/>
          <w:color w:val="1E293B"/>
          <w:sz w:val="22"/>
          <w:szCs w:val="22"/>
        </w:rPr>
        <w:t xml:space="preserve">Legal personhood: </w:t>
      </w:r>
      <w:r>
        <w:rPr>
          <w:rFonts w:ascii="Arial" w:cs="Arial" w:eastAsia="Arial" w:hAnsi="Arial"/>
          <w:color w:val="1E293B"/>
          <w:sz w:val="22"/>
          <w:szCs w:val="22"/>
        </w:rPr>
        <w:t xml:space="preserve">The DAO LLC can hold bank accounts, sign contracts, register intellectual property, and interact with the traditional legal system.</w:t>
      </w:r>
    </w:p>
    <w:p>
      <w:pPr>
        <w:pStyle w:val="ListParagraph"/>
        <w:numPr>
          <w:ilvl w:val="0"/>
          <w:numId w:val="2"/>
        </w:numPr>
        <w:spacing w:after="100"/>
      </w:pPr>
      <w:r>
        <w:rPr>
          <w:rFonts w:ascii="Arial" w:cs="Arial" w:eastAsia="Arial" w:hAnsi="Arial"/>
          <w:b/>
          <w:bCs/>
          <w:color w:val="1E293B"/>
          <w:sz w:val="22"/>
          <w:szCs w:val="22"/>
        </w:rPr>
        <w:t xml:space="preserve">Governance flexibility: </w:t>
      </w:r>
      <w:r>
        <w:rPr>
          <w:rFonts w:ascii="Arial" w:cs="Arial" w:eastAsia="Arial" w:hAnsi="Arial"/>
          <w:color w:val="1E293B"/>
          <w:sz w:val="22"/>
          <w:szCs w:val="22"/>
        </w:rPr>
        <w:t xml:space="preserve">The operating agreement can define member-managed governance (voting) or algorithmically managed operations via smart contracts. Canary uses a hybrid model.</w:t>
      </w:r>
    </w:p>
    <w:p>
      <w:pPr>
        <w:pStyle w:val="ListParagraph"/>
        <w:numPr>
          <w:ilvl w:val="0"/>
          <w:numId w:val="2"/>
        </w:numPr>
        <w:spacing w:after="100"/>
      </w:pPr>
      <w:r>
        <w:rPr>
          <w:rFonts w:ascii="Arial" w:cs="Arial" w:eastAsia="Arial" w:hAnsi="Arial"/>
          <w:b/>
          <w:bCs/>
          <w:color w:val="1E293B"/>
          <w:sz w:val="22"/>
          <w:szCs w:val="22"/>
        </w:rPr>
        <w:t xml:space="preserve">Pass-through taxation: </w:t>
      </w:r>
      <w:r>
        <w:rPr>
          <w:rFonts w:ascii="Arial" w:cs="Arial" w:eastAsia="Arial" w:hAnsi="Arial"/>
          <w:color w:val="1E293B"/>
          <w:sz w:val="22"/>
          <w:szCs w:val="22"/>
        </w:rPr>
        <w:t xml:space="preserve">No double taxation. Income flows through to members and is taxed once at the individual level.</w:t>
      </w:r>
    </w:p>
    <w:p>
      <w:pPr>
        <w:pStyle w:val="Heading2"/>
        <w:spacing w:before="280" w:after="160"/>
      </w:pPr>
      <w:r>
        <w:rPr>
          <w:rFonts w:ascii="Arial" w:cs="Arial" w:eastAsia="Arial" w:hAnsi="Arial"/>
          <w:b/>
          <w:bCs/>
          <w:color w:val="D97706"/>
          <w:sz w:val="28"/>
          <w:szCs w:val="28"/>
        </w:rPr>
        <w:t xml:space="preserve">4.2 Why Wyoming</w:t>
      </w:r>
    </w:p>
    <w:p>
      <w:pPr>
        <w:spacing w:after="160"/>
      </w:pPr>
      <w:r>
        <w:rPr>
          <w:rFonts w:ascii="Arial" w:cs="Arial" w:eastAsia="Arial" w:hAnsi="Arial"/>
          <w:color w:val="1E293B"/>
          <w:sz w:val="22"/>
          <w:szCs w:val="22"/>
        </w:rPr>
        <w:t xml:space="preserve">Wyoming is consistently ranked the most business-friendly state in the U.S. with the lowest business tax burden. Beyond the DAO-specific legislation, Wyoming offers:</w:t>
      </w:r>
    </w:p>
    <w:p>
      <w:pPr>
        <w:pStyle w:val="ListParagraph"/>
        <w:numPr>
          <w:ilvl w:val="0"/>
          <w:numId w:val="2"/>
        </w:numPr>
        <w:spacing w:after="100"/>
      </w:pPr>
      <w:r>
        <w:rPr>
          <w:rFonts w:ascii="Arial" w:cs="Arial" w:eastAsia="Arial" w:hAnsi="Arial"/>
          <w:b/>
          <w:bCs/>
          <w:color w:val="1E293B"/>
          <w:sz w:val="22"/>
          <w:szCs w:val="22"/>
        </w:rPr>
        <w:t xml:space="preserve">No state income tax: </w:t>
      </w:r>
      <w:r>
        <w:rPr>
          <w:rFonts w:ascii="Arial" w:cs="Arial" w:eastAsia="Arial" w:hAnsi="Arial"/>
          <w:color w:val="1E293B"/>
          <w:sz w:val="22"/>
          <w:szCs w:val="22"/>
        </w:rPr>
        <w:t xml:space="preserve">Zero personal or corporate income tax. Zero franchise tax. Annual report fee is $60 minimum.</w:t>
      </w:r>
    </w:p>
    <w:p>
      <w:pPr>
        <w:pStyle w:val="ListParagraph"/>
        <w:numPr>
          <w:ilvl w:val="0"/>
          <w:numId w:val="2"/>
        </w:numPr>
        <w:spacing w:after="100"/>
      </w:pPr>
      <w:r>
        <w:rPr>
          <w:rFonts w:ascii="Arial" w:cs="Arial" w:eastAsia="Arial" w:hAnsi="Arial"/>
          <w:b/>
          <w:bCs/>
          <w:color w:val="1E293B"/>
          <w:sz w:val="22"/>
          <w:szCs w:val="22"/>
        </w:rPr>
        <w:t xml:space="preserve">Privacy-friendly statutes: </w:t>
      </w:r>
      <w:r>
        <w:rPr>
          <w:rFonts w:ascii="Arial" w:cs="Arial" w:eastAsia="Arial" w:hAnsi="Arial"/>
          <w:color w:val="1E293B"/>
          <w:sz w:val="22"/>
          <w:szCs w:val="22"/>
        </w:rPr>
        <w:t xml:space="preserve">Wyoming does not require public disclosure of LLC member names in state filings.</w:t>
      </w:r>
    </w:p>
    <w:p>
      <w:pPr>
        <w:pStyle w:val="ListParagraph"/>
        <w:numPr>
          <w:ilvl w:val="0"/>
          <w:numId w:val="2"/>
        </w:numPr>
        <w:spacing w:after="100"/>
      </w:pPr>
      <w:r>
        <w:rPr>
          <w:rFonts w:ascii="Arial" w:cs="Arial" w:eastAsia="Arial" w:hAnsi="Arial"/>
          <w:b/>
          <w:bCs/>
          <w:color w:val="1E293B"/>
          <w:sz w:val="22"/>
          <w:szCs w:val="22"/>
        </w:rPr>
        <w:t xml:space="preserve">Digital asset leadership: </w:t>
      </w:r>
      <w:r>
        <w:rPr>
          <w:rFonts w:ascii="Arial" w:cs="Arial" w:eastAsia="Arial" w:hAnsi="Arial"/>
          <w:color w:val="1E293B"/>
          <w:sz w:val="22"/>
          <w:szCs w:val="22"/>
        </w:rPr>
        <w:t xml:space="preserve">Wyoming has passed over 30 blockchain and digital asset laws since 2018, creating the most comprehensive legal framework for crypto businesses in the U.S.</w:t>
      </w:r>
    </w:p>
    <w:p>
      <w:pPr>
        <w:pStyle w:val="ListParagraph"/>
        <w:numPr>
          <w:ilvl w:val="0"/>
          <w:numId w:val="2"/>
        </w:numPr>
        <w:spacing w:after="100"/>
      </w:pPr>
      <w:r>
        <w:rPr>
          <w:rFonts w:ascii="Arial" w:cs="Arial" w:eastAsia="Arial" w:hAnsi="Arial"/>
          <w:b/>
          <w:bCs/>
          <w:color w:val="1E293B"/>
          <w:sz w:val="22"/>
          <w:szCs w:val="22"/>
        </w:rPr>
        <w:t xml:space="preserve">Special Purpose Depository Institutions: </w:t>
      </w:r>
      <w:r>
        <w:rPr>
          <w:rFonts w:ascii="Arial" w:cs="Arial" w:eastAsia="Arial" w:hAnsi="Arial"/>
          <w:color w:val="1E293B"/>
          <w:sz w:val="22"/>
          <w:szCs w:val="22"/>
        </w:rPr>
        <w:t xml:space="preserve">Wyoming’s SPDI charter allows crypto-native banks to operate under state supervision, creating a potential future banking relationship for Canary.</w:t>
      </w:r>
    </w:p>
    <w:p>
      <w:pPr>
        <w:pStyle w:val="ListParagraph"/>
        <w:numPr>
          <w:ilvl w:val="0"/>
          <w:numId w:val="2"/>
        </w:numPr>
        <w:spacing w:after="100"/>
      </w:pPr>
      <w:r>
        <w:rPr>
          <w:rFonts w:ascii="Arial" w:cs="Arial" w:eastAsia="Arial" w:hAnsi="Arial"/>
          <w:b/>
          <w:bCs/>
          <w:color w:val="1E293B"/>
          <w:sz w:val="22"/>
          <w:szCs w:val="22"/>
        </w:rPr>
        <w:t xml:space="preserve">First-mover legal clarity: </w:t>
      </w:r>
      <w:r>
        <w:rPr>
          <w:rFonts w:ascii="Arial" w:cs="Arial" w:eastAsia="Arial" w:hAnsi="Arial"/>
          <w:color w:val="1E293B"/>
          <w:sz w:val="22"/>
          <w:szCs w:val="22"/>
        </w:rPr>
        <w:t xml:space="preserve">The DAO LLC statute has been in effect since 2022, giving it the longest track record of any DAO legal framework in the U.S. Courts and regulators have had time to develop precedent.</w:t>
      </w:r>
    </w:p>
    <w:p>
      <w:pPr>
        <w:pStyle w:val="Heading2"/>
        <w:spacing w:before="280" w:after="160"/>
      </w:pPr>
      <w:r>
        <w:rPr>
          <w:rFonts w:ascii="Arial" w:cs="Arial" w:eastAsia="Arial" w:hAnsi="Arial"/>
          <w:b/>
          <w:bCs/>
          <w:color w:val="D97706"/>
          <w:sz w:val="28"/>
          <w:szCs w:val="28"/>
        </w:rPr>
        <w:t xml:space="preserve">4.3 Why DAO Structure for Canary</w:t>
      </w:r>
    </w:p>
    <w:p>
      <w:pPr>
        <w:spacing w:after="160"/>
      </w:pPr>
      <w:r>
        <w:rPr>
          <w:rFonts w:ascii="Arial" w:cs="Arial" w:eastAsia="Arial" w:hAnsi="Arial"/>
          <w:color w:val="1E293B"/>
          <w:sz w:val="22"/>
          <w:szCs w:val="22"/>
        </w:rPr>
        <w:t xml:space="preserve">The DAO structure is not a gimmick or a token play. It serves three practical purposes for Canary:</w:t>
      </w:r>
    </w:p>
    <w:p>
      <w:pPr>
        <w:pStyle w:val="ListParagraph"/>
        <w:numPr>
          <w:ilvl w:val="0"/>
          <w:numId w:val="2"/>
        </w:numPr>
        <w:spacing w:after="100"/>
      </w:pPr>
      <w:r>
        <w:rPr>
          <w:rFonts w:ascii="Arial" w:cs="Arial" w:eastAsia="Arial" w:hAnsi="Arial"/>
          <w:b/>
          <w:bCs/>
          <w:color w:val="1E293B"/>
          <w:sz w:val="22"/>
          <w:szCs w:val="22"/>
        </w:rPr>
        <w:t xml:space="preserve">Alignment with BTC treasury strategy: </w:t>
      </w:r>
      <w:r>
        <w:rPr>
          <w:rFonts w:ascii="Arial" w:cs="Arial" w:eastAsia="Arial" w:hAnsi="Arial"/>
          <w:color w:val="1E293B"/>
          <w:sz w:val="22"/>
          <w:szCs w:val="22"/>
        </w:rPr>
        <w:t xml:space="preserve">Canary’s seed treasury and ongoing revenue are denominated in Bitcoin. A DAO LLC provides the governance infrastructure to manage a BTC treasury transparently, with programmatic rules around spending, reserves, and member distributions.</w:t>
      </w:r>
    </w:p>
    <w:p>
      <w:pPr>
        <w:pStyle w:val="ListParagraph"/>
        <w:numPr>
          <w:ilvl w:val="0"/>
          <w:numId w:val="2"/>
        </w:numPr>
        <w:spacing w:after="100"/>
      </w:pPr>
      <w:r>
        <w:rPr>
          <w:rFonts w:ascii="Arial" w:cs="Arial" w:eastAsia="Arial" w:hAnsi="Arial"/>
          <w:b/>
          <w:bCs/>
          <w:color w:val="1E293B"/>
          <w:sz w:val="22"/>
          <w:szCs w:val="22"/>
        </w:rPr>
        <w:t xml:space="preserve">Future community governance: </w:t>
      </w:r>
      <w:r>
        <w:rPr>
          <w:rFonts w:ascii="Arial" w:cs="Arial" w:eastAsia="Arial" w:hAnsi="Arial"/>
          <w:color w:val="1E293B"/>
          <w:sz w:val="22"/>
          <w:szCs w:val="22"/>
        </w:rPr>
        <w:t xml:space="preserve">As Canary’s merchant network grows, the DAO structure enables a path toward merchant-governed features, pricing decisions, and platform direction — giving customers a stake in the platform they depend on.</w:t>
      </w:r>
    </w:p>
    <w:p>
      <w:pPr>
        <w:pStyle w:val="ListParagraph"/>
        <w:numPr>
          <w:ilvl w:val="0"/>
          <w:numId w:val="2"/>
        </w:numPr>
        <w:spacing w:after="100"/>
      </w:pPr>
      <w:r>
        <w:rPr>
          <w:rFonts w:ascii="Arial" w:cs="Arial" w:eastAsia="Arial" w:hAnsi="Arial"/>
          <w:b/>
          <w:bCs/>
          <w:color w:val="1E293B"/>
          <w:sz w:val="22"/>
          <w:szCs w:val="22"/>
        </w:rPr>
        <w:t xml:space="preserve">Transparent operations: </w:t>
      </w:r>
      <w:r>
        <w:rPr>
          <w:rFonts w:ascii="Arial" w:cs="Arial" w:eastAsia="Arial" w:hAnsi="Arial"/>
          <w:color w:val="1E293B"/>
          <w:sz w:val="22"/>
          <w:szCs w:val="22"/>
        </w:rPr>
        <w:t xml:space="preserve">On-chain governance records provide an immutable audit trail of organizational decisions. For a company built on trust (merchants entrust Canary with their transaction data), transparent governance is a competitive advantage.</w:t>
      </w:r>
    </w:p>
    <w:p>
      <w:r>
        <w:br w:type="page"/>
      </w:r>
    </w:p>
    <w:p>
      <w:pPr>
        <w:pStyle w:val="Heading1"/>
        <w:spacing w:before="360" w:after="200"/>
      </w:pPr>
      <w:r>
        <w:rPr>
          <w:rFonts w:ascii="Arial" w:cs="Arial" w:eastAsia="Arial" w:hAnsi="Arial"/>
          <w:b/>
          <w:bCs/>
          <w:color w:val="0F1923"/>
          <w:sz w:val="36"/>
          <w:szCs w:val="36"/>
        </w:rPr>
        <w:t xml:space="preserve">5. Why Bitcoin and the Lightning Network</w:t>
      </w:r>
    </w:p>
    <w:p>
      <w:pPr>
        <w:spacing w:after="160"/>
      </w:pPr>
      <w:r>
        <w:rPr>
          <w:rFonts w:ascii="Arial" w:cs="Arial" w:eastAsia="Arial" w:hAnsi="Arial"/>
          <w:color w:val="1E293B"/>
          <w:sz w:val="22"/>
          <w:szCs w:val="22"/>
        </w:rPr>
        <w:t xml:space="preserve">Canary is a Bitcoin-native business. Subscription revenue is collected via Lightning Network payments, the company’s treasury is denominated in BTC, and the long-term vision is a loss prevention platform that operates entirely on Bitcoin rails. This is not ideology — it is a strategic infrastructure decision.</w:t>
      </w:r>
    </w:p>
    <w:p>
      <w:pPr>
        <w:pStyle w:val="Heading2"/>
        <w:spacing w:before="280" w:after="160"/>
      </w:pPr>
      <w:r>
        <w:rPr>
          <w:rFonts w:ascii="Arial" w:cs="Arial" w:eastAsia="Arial" w:hAnsi="Arial"/>
          <w:b/>
          <w:bCs/>
          <w:color w:val="D97706"/>
          <w:sz w:val="28"/>
          <w:szCs w:val="28"/>
        </w:rPr>
        <w:t xml:space="preserve">5.1 The Lightning Network Today</w:t>
      </w:r>
    </w:p>
    <w:p>
      <w:pPr>
        <w:spacing w:after="160"/>
      </w:pPr>
      <w:r>
        <w:rPr>
          <w:rFonts w:ascii="Arial" w:cs="Arial" w:eastAsia="Arial" w:hAnsi="Arial"/>
          <w:color w:val="1E293B"/>
          <w:sz w:val="22"/>
          <w:szCs w:val="22"/>
        </w:rPr>
        <w:t xml:space="preserve">The Lightning Network is Bitcoin’s Layer 2 payment protocol. It enables instant, near-zero-fee transactions by creating payment channels between parties, settling only the net result on the Bitcoin base layer. As of late 2025:</w:t>
      </w:r>
    </w:p>
    <w:p>
      <w:pPr>
        <w:pStyle w:val="ListParagraph"/>
        <w:numPr>
          <w:ilvl w:val="0"/>
          <w:numId w:val="2"/>
        </w:numPr>
        <w:spacing w:after="100"/>
      </w:pPr>
      <w:r>
        <w:rPr>
          <w:rFonts w:ascii="Arial" w:cs="Arial" w:eastAsia="Arial" w:hAnsi="Arial"/>
          <w:b/>
          <w:bCs/>
          <w:color w:val="1E293B"/>
          <w:sz w:val="22"/>
          <w:szCs w:val="22"/>
        </w:rPr>
        <w:t xml:space="preserve">Network capacity: </w:t>
      </w:r>
      <w:r>
        <w:rPr>
          <w:rFonts w:ascii="Arial" w:cs="Arial" w:eastAsia="Arial" w:hAnsi="Arial"/>
          <w:color w:val="1E293B"/>
          <w:sz w:val="22"/>
          <w:szCs w:val="22"/>
        </w:rPr>
        <w:t xml:space="preserve">5,637 BTC (~$490 million) in public channel capacity, an all-time high. 400% growth since 2020.</w:t>
      </w:r>
    </w:p>
    <w:p>
      <w:pPr>
        <w:pStyle w:val="ListParagraph"/>
        <w:numPr>
          <w:ilvl w:val="0"/>
          <w:numId w:val="2"/>
        </w:numPr>
        <w:spacing w:after="100"/>
      </w:pPr>
      <w:r>
        <w:rPr>
          <w:rFonts w:ascii="Arial" w:cs="Arial" w:eastAsia="Arial" w:hAnsi="Arial"/>
          <w:b/>
          <w:bCs/>
          <w:color w:val="1E293B"/>
          <w:sz w:val="22"/>
          <w:szCs w:val="22"/>
        </w:rPr>
        <w:t xml:space="preserve">Transaction volume: </w:t>
      </w:r>
      <w:r>
        <w:rPr>
          <w:rFonts w:ascii="Arial" w:cs="Arial" w:eastAsia="Arial" w:hAnsi="Arial"/>
          <w:color w:val="1E293B"/>
          <w:sz w:val="22"/>
          <w:szCs w:val="22"/>
        </w:rPr>
        <w:t xml:space="preserve">8+ million transactions processed monthly. Payment success rate exceeds 99% in well-configured implementations. Volume surged 266% year-over-year in 2025.</w:t>
      </w:r>
    </w:p>
    <w:p>
      <w:pPr>
        <w:pStyle w:val="ListParagraph"/>
        <w:numPr>
          <w:ilvl w:val="0"/>
          <w:numId w:val="2"/>
        </w:numPr>
        <w:spacing w:after="100"/>
      </w:pPr>
      <w:r>
        <w:rPr>
          <w:rFonts w:ascii="Arial" w:cs="Arial" w:eastAsia="Arial" w:hAnsi="Arial"/>
          <w:b/>
          <w:bCs/>
          <w:color w:val="1E293B"/>
          <w:sz w:val="22"/>
          <w:szCs w:val="22"/>
        </w:rPr>
        <w:t xml:space="preserve">Enterprise adoption: </w:t>
      </w:r>
      <w:r>
        <w:rPr>
          <w:rFonts w:ascii="Arial" w:cs="Arial" w:eastAsia="Arial" w:hAnsi="Arial"/>
          <w:color w:val="1E293B"/>
          <w:sz w:val="22"/>
          <w:szCs w:val="22"/>
        </w:rPr>
        <w:t xml:space="preserve">Coinbase, Binance, Kraken, OKX, and Bitfinex have all integrated Lightning. Over 15% of Coinbase Bitcoin withdrawals now use Lightning.</w:t>
      </w:r>
    </w:p>
    <w:p>
      <w:pPr>
        <w:pStyle w:val="ListParagraph"/>
        <w:numPr>
          <w:ilvl w:val="0"/>
          <w:numId w:val="2"/>
        </w:numPr>
        <w:spacing w:after="100"/>
      </w:pPr>
      <w:r>
        <w:rPr>
          <w:rFonts w:ascii="Arial" w:cs="Arial" w:eastAsia="Arial" w:hAnsi="Arial"/>
          <w:b/>
          <w:bCs/>
          <w:color w:val="1E293B"/>
          <w:sz w:val="22"/>
          <w:szCs w:val="22"/>
        </w:rPr>
        <w:t xml:space="preserve">Block/Square integration: </w:t>
      </w:r>
      <w:r>
        <w:rPr>
          <w:rFonts w:ascii="Arial" w:cs="Arial" w:eastAsia="Arial" w:hAnsi="Arial"/>
          <w:color w:val="1E293B"/>
          <w:sz w:val="22"/>
          <w:szCs w:val="22"/>
        </w:rPr>
        <w:t xml:space="preserve">Block (Square’s parent company) operates one of the world’s largest Lightning nodes. Cash App saw 7x Lightning usage growth in 2024. Full Lightning-powered merchant payments are expected by 2026.</w:t>
      </w:r>
    </w:p>
    <w:p>
      <w:pPr>
        <w:pStyle w:val="ListParagraph"/>
        <w:numPr>
          <w:ilvl w:val="0"/>
          <w:numId w:val="2"/>
        </w:numPr>
        <w:spacing w:after="100"/>
      </w:pPr>
      <w:r>
        <w:rPr>
          <w:rFonts w:ascii="Arial" w:cs="Arial" w:eastAsia="Arial" w:hAnsi="Arial"/>
          <w:b/>
          <w:bCs/>
          <w:color w:val="1E293B"/>
          <w:sz w:val="22"/>
          <w:szCs w:val="22"/>
        </w:rPr>
        <w:t xml:space="preserve">Global reach: </w:t>
      </w:r>
      <w:r>
        <w:rPr>
          <w:rFonts w:ascii="Arial" w:cs="Arial" w:eastAsia="Arial" w:hAnsi="Arial"/>
          <w:color w:val="1E293B"/>
          <w:sz w:val="22"/>
          <w:szCs w:val="22"/>
        </w:rPr>
        <w:t xml:space="preserve">650+ million users have indirect Lightning access through app integrations. The U.S. leads node adoption at 30.6% of all nodes.</w:t>
      </w:r>
    </w:p>
    <w:p>
      <w:pPr>
        <w:pStyle w:val="Heading2"/>
        <w:spacing w:before="280" w:after="160"/>
      </w:pPr>
      <w:r>
        <w:rPr>
          <w:rFonts w:ascii="Arial" w:cs="Arial" w:eastAsia="Arial" w:hAnsi="Arial"/>
          <w:b/>
          <w:bCs/>
          <w:color w:val="D97706"/>
          <w:sz w:val="28"/>
          <w:szCs w:val="28"/>
        </w:rPr>
        <w:t xml:space="preserve">5.2 Why Lightning for SaaS Billing</w:t>
      </w:r>
    </w:p>
    <w:p>
      <w:pPr>
        <w:spacing w:after="160"/>
      </w:pPr>
      <w:r>
        <w:rPr>
          <w:rFonts w:ascii="Arial" w:cs="Arial" w:eastAsia="Arial" w:hAnsi="Arial"/>
          <w:color w:val="1E293B"/>
          <w:sz w:val="22"/>
          <w:szCs w:val="22"/>
        </w:rPr>
        <w:t xml:space="preserve">Traditional SaaS billing relies on credit card processors (Stripe, Braintree) that extract 2.9% + $0.30 per transaction, impose chargebacks, require PCI compliance overhead, and subject merchants to payment platform risk (account freezes, holds, disputes). Lightning eliminates every one of these friction points:</w:t>
      </w:r>
    </w:p>
    <w:p>
      <w:pPr>
        <w:pStyle w:val="ListParagraph"/>
        <w:numPr>
          <w:ilvl w:val="0"/>
          <w:numId w:val="2"/>
        </w:numPr>
        <w:spacing w:after="100"/>
      </w:pPr>
      <w:r>
        <w:rPr>
          <w:rFonts w:ascii="Arial" w:cs="Arial" w:eastAsia="Arial" w:hAnsi="Arial"/>
          <w:b/>
          <w:bCs/>
          <w:color w:val="1E293B"/>
          <w:sz w:val="22"/>
          <w:szCs w:val="22"/>
        </w:rPr>
        <w:t xml:space="preserve">Near-zero fees: </w:t>
      </w:r>
      <w:r>
        <w:rPr>
          <w:rFonts w:ascii="Arial" w:cs="Arial" w:eastAsia="Arial" w:hAnsi="Arial"/>
          <w:color w:val="1E293B"/>
          <w:sz w:val="22"/>
          <w:szCs w:val="22"/>
        </w:rPr>
        <w:t xml:space="preserve">Lightning transaction fees are typically under 1 sat ($0.001). A $99/month subscription costs less than a penny to process versus $3.17 on Stripe.</w:t>
      </w:r>
    </w:p>
    <w:p>
      <w:pPr>
        <w:pStyle w:val="ListParagraph"/>
        <w:numPr>
          <w:ilvl w:val="0"/>
          <w:numId w:val="2"/>
        </w:numPr>
        <w:spacing w:after="100"/>
      </w:pPr>
      <w:r>
        <w:rPr>
          <w:rFonts w:ascii="Arial" w:cs="Arial" w:eastAsia="Arial" w:hAnsi="Arial"/>
          <w:b/>
          <w:bCs/>
          <w:color w:val="1E293B"/>
          <w:sz w:val="22"/>
          <w:szCs w:val="22"/>
        </w:rPr>
        <w:t xml:space="preserve">Instant settlement: </w:t>
      </w:r>
      <w:r>
        <w:rPr>
          <w:rFonts w:ascii="Arial" w:cs="Arial" w:eastAsia="Arial" w:hAnsi="Arial"/>
          <w:color w:val="1E293B"/>
          <w:sz w:val="22"/>
          <w:szCs w:val="22"/>
        </w:rPr>
        <w:t xml:space="preserve">Funds are available immediately. No 2-7 day settlement windows. No rolling reserves. No holds.</w:t>
      </w:r>
    </w:p>
    <w:p>
      <w:pPr>
        <w:pStyle w:val="ListParagraph"/>
        <w:numPr>
          <w:ilvl w:val="0"/>
          <w:numId w:val="2"/>
        </w:numPr>
        <w:spacing w:after="100"/>
      </w:pPr>
      <w:r>
        <w:rPr>
          <w:rFonts w:ascii="Arial" w:cs="Arial" w:eastAsia="Arial" w:hAnsi="Arial"/>
          <w:b/>
          <w:bCs/>
          <w:color w:val="1E293B"/>
          <w:sz w:val="22"/>
          <w:szCs w:val="22"/>
        </w:rPr>
        <w:t xml:space="preserve">No chargebacks: </w:t>
      </w:r>
      <w:r>
        <w:rPr>
          <w:rFonts w:ascii="Arial" w:cs="Arial" w:eastAsia="Arial" w:hAnsi="Arial"/>
          <w:color w:val="1E293B"/>
          <w:sz w:val="22"/>
          <w:szCs w:val="22"/>
        </w:rPr>
        <w:t xml:space="preserve">Lightning payments are final. This eliminates chargeback fraud, dispute resolution overhead, and the 1-2% revenue loss that SaaS companies typically absorb from chargebacks.</w:t>
      </w:r>
    </w:p>
    <w:p>
      <w:pPr>
        <w:pStyle w:val="ListParagraph"/>
        <w:numPr>
          <w:ilvl w:val="0"/>
          <w:numId w:val="2"/>
        </w:numPr>
        <w:spacing w:after="100"/>
      </w:pPr>
      <w:r>
        <w:rPr>
          <w:rFonts w:ascii="Arial" w:cs="Arial" w:eastAsia="Arial" w:hAnsi="Arial"/>
          <w:b/>
          <w:bCs/>
          <w:color w:val="1E293B"/>
          <w:sz w:val="22"/>
          <w:szCs w:val="22"/>
        </w:rPr>
        <w:t xml:space="preserve">No intermediary risk: </w:t>
      </w:r>
      <w:r>
        <w:rPr>
          <w:rFonts w:ascii="Arial" w:cs="Arial" w:eastAsia="Arial" w:hAnsi="Arial"/>
          <w:color w:val="1E293B"/>
          <w:sz w:val="22"/>
          <w:szCs w:val="22"/>
        </w:rPr>
        <w:t xml:space="preserve">No payment processor can freeze Canary’s funds, shut down its merchant account, or impose arbitrary compliance requirements. Canary runs its own BTCPay Server and Lightning node.</w:t>
      </w:r>
    </w:p>
    <w:p>
      <w:pPr>
        <w:pStyle w:val="ListParagraph"/>
        <w:numPr>
          <w:ilvl w:val="0"/>
          <w:numId w:val="2"/>
        </w:numPr>
        <w:spacing w:after="100"/>
      </w:pPr>
      <w:r>
        <w:rPr>
          <w:rFonts w:ascii="Arial" w:cs="Arial" w:eastAsia="Arial" w:hAnsi="Arial"/>
          <w:b/>
          <w:bCs/>
          <w:color w:val="1E293B"/>
          <w:sz w:val="22"/>
          <w:szCs w:val="22"/>
        </w:rPr>
        <w:t xml:space="preserve">Programmable payments: </w:t>
      </w:r>
      <w:r>
        <w:rPr>
          <w:rFonts w:ascii="Arial" w:cs="Arial" w:eastAsia="Arial" w:hAnsi="Arial"/>
          <w:color w:val="1E293B"/>
          <w:sz w:val="22"/>
          <w:szCs w:val="22"/>
        </w:rPr>
        <w:t xml:space="preserve">Lightning invoices can be generated programmatically via BTCPay Server’s API, enabling automated subscription management, usage-based billing, and instant revenue recognition.</w:t>
      </w:r>
    </w:p>
    <w:p>
      <w:pPr>
        <w:pStyle w:val="Heading2"/>
        <w:spacing w:before="280" w:after="160"/>
      </w:pPr>
      <w:r>
        <w:rPr>
          <w:rFonts w:ascii="Arial" w:cs="Arial" w:eastAsia="Arial" w:hAnsi="Arial"/>
          <w:b/>
          <w:bCs/>
          <w:color w:val="D97706"/>
          <w:sz w:val="28"/>
          <w:szCs w:val="28"/>
        </w:rPr>
        <w:t xml:space="preserve">5.3 Building a BTC Treasury</w:t>
      </w:r>
    </w:p>
    <w:p>
      <w:pPr>
        <w:spacing w:after="160"/>
      </w:pPr>
      <w:r>
        <w:rPr>
          <w:rFonts w:ascii="Arial" w:cs="Arial" w:eastAsia="Arial" w:hAnsi="Arial"/>
          <w:color w:val="1E293B"/>
          <w:sz w:val="22"/>
          <w:szCs w:val="22"/>
        </w:rPr>
        <w:t xml:space="preserve">Canary’s seed treasury is approximately $160,000 in Bitcoin and stablecoins. All subscription revenue collected via Lightning is held in BTC. This treasury strategy serves multiple purposes:</w:t>
      </w:r>
    </w:p>
    <w:p>
      <w:pPr>
        <w:pStyle w:val="ListParagraph"/>
        <w:numPr>
          <w:ilvl w:val="0"/>
          <w:numId w:val="2"/>
        </w:numPr>
        <w:spacing w:after="100"/>
      </w:pPr>
      <w:r>
        <w:rPr>
          <w:rFonts w:ascii="Arial" w:cs="Arial" w:eastAsia="Arial" w:hAnsi="Arial"/>
          <w:b/>
          <w:bCs/>
          <w:color w:val="1E293B"/>
          <w:sz w:val="22"/>
          <w:szCs w:val="22"/>
        </w:rPr>
        <w:t xml:space="preserve">Appreciating reserve: </w:t>
      </w:r>
      <w:r>
        <w:rPr>
          <w:rFonts w:ascii="Arial" w:cs="Arial" w:eastAsia="Arial" w:hAnsi="Arial"/>
          <w:color w:val="1E293B"/>
          <w:sz w:val="22"/>
          <w:szCs w:val="22"/>
        </w:rPr>
        <w:t xml:space="preserve">Bitcoin’s long-term price trajectory provides a natural tailwind for Canary’s balance sheet. Operating expenses can be managed through a modest stablecoin allocation while the majority of the treasury benefits from BTC appreciation.</w:t>
      </w:r>
    </w:p>
    <w:p>
      <w:pPr>
        <w:pStyle w:val="ListParagraph"/>
        <w:numPr>
          <w:ilvl w:val="0"/>
          <w:numId w:val="2"/>
        </w:numPr>
        <w:spacing w:after="100"/>
      </w:pPr>
      <w:r>
        <w:rPr>
          <w:rFonts w:ascii="Arial" w:cs="Arial" w:eastAsia="Arial" w:hAnsi="Arial"/>
          <w:b/>
          <w:bCs/>
          <w:color w:val="1E293B"/>
          <w:sz w:val="22"/>
          <w:szCs w:val="22"/>
        </w:rPr>
        <w:t xml:space="preserve">Alignment with merchant base: </w:t>
      </w:r>
      <w:r>
        <w:rPr>
          <w:rFonts w:ascii="Arial" w:cs="Arial" w:eastAsia="Arial" w:hAnsi="Arial"/>
          <w:color w:val="1E293B"/>
          <w:sz w:val="22"/>
          <w:szCs w:val="22"/>
        </w:rPr>
        <w:t xml:space="preserve">As Square merchants increasingly accept Bitcoin payments (enabled by Block’s Lightning integration), Canary’s Bitcoin-native positioning becomes a competitive advantage. Canary speaks the same financial language as its customers.</w:t>
      </w:r>
    </w:p>
    <w:p>
      <w:pPr>
        <w:pStyle w:val="ListParagraph"/>
        <w:numPr>
          <w:ilvl w:val="0"/>
          <w:numId w:val="2"/>
        </w:numPr>
        <w:spacing w:after="100"/>
      </w:pPr>
      <w:r>
        <w:rPr>
          <w:rFonts w:ascii="Arial" w:cs="Arial" w:eastAsia="Arial" w:hAnsi="Arial"/>
          <w:b/>
          <w:bCs/>
          <w:color w:val="1E293B"/>
          <w:sz w:val="22"/>
          <w:szCs w:val="22"/>
        </w:rPr>
        <w:t xml:space="preserve">DAO governance token potential: </w:t>
      </w:r>
      <w:r>
        <w:rPr>
          <w:rFonts w:ascii="Arial" w:cs="Arial" w:eastAsia="Arial" w:hAnsi="Arial"/>
          <w:color w:val="1E293B"/>
          <w:sz w:val="22"/>
          <w:szCs w:val="22"/>
        </w:rPr>
        <w:t xml:space="preserve">The BTC treasury provides a foundation for future governance token mechanics. Member voting weight can be tied to Lightning channel capacity, subscription tenure, or direct BTC contribution — creating a sybil-resistant governance model anchored to real economic activity.</w:t>
      </w:r>
    </w:p>
    <w:p>
      <w:pPr>
        <w:pStyle w:val="ListParagraph"/>
        <w:numPr>
          <w:ilvl w:val="0"/>
          <w:numId w:val="2"/>
        </w:numPr>
        <w:spacing w:after="100"/>
      </w:pPr>
      <w:r>
        <w:rPr>
          <w:rFonts w:ascii="Arial" w:cs="Arial" w:eastAsia="Arial" w:hAnsi="Arial"/>
          <w:b/>
          <w:bCs/>
          <w:color w:val="1E293B"/>
          <w:sz w:val="22"/>
          <w:szCs w:val="22"/>
        </w:rPr>
        <w:t xml:space="preserve">Self-sovereignty: </w:t>
      </w:r>
      <w:r>
        <w:rPr>
          <w:rFonts w:ascii="Arial" w:cs="Arial" w:eastAsia="Arial" w:hAnsi="Arial"/>
          <w:color w:val="1E293B"/>
          <w:sz w:val="22"/>
          <w:szCs w:val="22"/>
        </w:rPr>
        <w:t xml:space="preserve">A BTC treasury held in Canary’s own Lightning node is not subject to bank account closures, payment processor disputes, or regulatory freezes. The company controls its own funds.</w:t>
      </w:r>
    </w:p>
    <w:p>
      <w:pPr>
        <w:pStyle w:val="Heading2"/>
        <w:spacing w:before="280" w:after="160"/>
      </w:pPr>
      <w:r>
        <w:rPr>
          <w:rFonts w:ascii="Arial" w:cs="Arial" w:eastAsia="Arial" w:hAnsi="Arial"/>
          <w:b/>
          <w:bCs/>
          <w:color w:val="D97706"/>
          <w:sz w:val="28"/>
          <w:szCs w:val="28"/>
        </w:rPr>
        <w:t xml:space="preserve">5.4 Layer 2 and the Future of Commerce</w:t>
      </w:r>
    </w:p>
    <w:p>
      <w:pPr>
        <w:spacing w:after="160"/>
      </w:pPr>
      <w:r>
        <w:rPr>
          <w:rFonts w:ascii="Arial" w:cs="Arial" w:eastAsia="Arial" w:hAnsi="Arial"/>
          <w:color w:val="1E293B"/>
          <w:sz w:val="22"/>
          <w:szCs w:val="22"/>
        </w:rPr>
        <w:t xml:space="preserve">The Lightning Network is the most mature Bitcoin Layer 2, but it is not the only one. Taproot Assets (launched January 2025) extends Lightning’s capability to multi-asset transactions, including stablecoins like USDT. This means Canary can eventually offer merchants the choice of paying subscriptions in BTC or USD-denominated stablecoins — both settled instantly over Lightning — without ever touching a traditional payment processor.</w:t>
      </w:r>
    </w:p>
    <w:p>
      <w:pPr>
        <w:spacing w:after="160"/>
      </w:pPr>
      <w:r>
        <w:rPr>
          <w:rFonts w:ascii="Arial" w:cs="Arial" w:eastAsia="Arial" w:hAnsi="Arial"/>
          <w:color w:val="1E293B"/>
          <w:sz w:val="22"/>
          <w:szCs w:val="22"/>
        </w:rPr>
        <w:t xml:space="preserve">The broader trajectory is clear: Bitcoin’s Layer 2 ecosystem is transitioning from experimental technology to mainstream financial infrastructure. Lightning could handle over 30% of all BTC payment transfers by the end of 2026. Canary is positioned at the intersection of two converging trends — SMB digital commerce moving onto modern POS APIs, and Bitcoin payment rails maturing into enterprise-ready infrastructure.</w:t>
      </w:r>
    </w:p>
    <w:p>
      <w:r>
        <w:br w:type="page"/>
      </w:r>
    </w:p>
    <w:p>
      <w:pPr>
        <w:pStyle w:val="Heading1"/>
        <w:spacing w:before="360" w:after="200"/>
      </w:pPr>
      <w:r>
        <w:rPr>
          <w:rFonts w:ascii="Arial" w:cs="Arial" w:eastAsia="Arial" w:hAnsi="Arial"/>
          <w:b/>
          <w:bCs/>
          <w:color w:val="0F1923"/>
          <w:sz w:val="36"/>
          <w:szCs w:val="36"/>
        </w:rPr>
        <w:t xml:space="preserve">6. Go-to-Market: POS Marketplace Distribution</w:t>
      </w:r>
    </w:p>
    <w:p>
      <w:pPr>
        <w:spacing w:after="160"/>
      </w:pPr>
      <w:r>
        <w:rPr>
          <w:rFonts w:ascii="Arial" w:cs="Arial" w:eastAsia="Arial" w:hAnsi="Arial"/>
          <w:color w:val="1E293B"/>
          <w:sz w:val="22"/>
          <w:szCs w:val="22"/>
        </w:rPr>
        <w:t xml:space="preserve">Canary’s primary distribution channel is the built-in app marketplace embedded in every major POS platform. These marketplaces are where merchants already discover, evaluate, and install business tools — directly from their POS dashboard or hardware device. Canary does not require a native mobile app download or any hardware installation. Merchants connect via OAuth in under 60 seconds.</w:t>
      </w:r>
    </w:p>
    <w:p>
      <w:pPr>
        <w:pStyle w:val="Heading2"/>
        <w:spacing w:before="280" w:after="160"/>
      </w:pPr>
      <w:r>
        <w:rPr>
          <w:rFonts w:ascii="Arial" w:cs="Arial" w:eastAsia="Arial" w:hAnsi="Arial"/>
          <w:b/>
          <w:bCs/>
          <w:color w:val="D97706"/>
          <w:sz w:val="28"/>
          <w:szCs w:val="28"/>
        </w:rPr>
        <w:t xml:space="preserve">6.1 Square App Marketplace (V1 Launch)</w:t>
      </w:r>
    </w:p>
    <w:p>
      <w:pPr>
        <w:spacing w:after="160"/>
      </w:pPr>
      <w:r>
        <w:rPr>
          <w:rFonts w:ascii="Arial" w:cs="Arial" w:eastAsia="Arial" w:hAnsi="Arial"/>
          <w:color w:val="1E293B"/>
          <w:sz w:val="22"/>
          <w:szCs w:val="22"/>
        </w:rPr>
        <w:t xml:space="preserve">The Square App Marketplace is Canary’s primary V1 distribution channel. Square serves over 4 million active sellers, and its marketplace is accessible directly from the Square Dashboard and the Square POS app on merchant devices.</w:t>
      </w:r>
    </w:p>
    <w:p>
      <w:pPr>
        <w:pStyle w:val="ListParagraph"/>
        <w:numPr>
          <w:ilvl w:val="0"/>
          <w:numId w:val="2"/>
        </w:numPr>
        <w:spacing w:after="100"/>
      </w:pPr>
      <w:r>
        <w:rPr>
          <w:rFonts w:ascii="Arial" w:cs="Arial" w:eastAsia="Arial" w:hAnsi="Arial"/>
          <w:b/>
          <w:bCs/>
          <w:color w:val="1E293B"/>
          <w:sz w:val="22"/>
          <w:szCs w:val="22"/>
        </w:rPr>
        <w:t xml:space="preserve">Listing requirements: </w:t>
      </w:r>
      <w:r>
        <w:rPr>
          <w:rFonts w:ascii="Arial" w:cs="Arial" w:eastAsia="Arial" w:hAnsi="Arial"/>
          <w:color w:val="1E293B"/>
          <w:sz w:val="22"/>
          <w:szCs w:val="22"/>
        </w:rPr>
        <w:t xml:space="preserve">Approved Square App Partner status and a minimum of 5 active sellers using the integration. Canary targets 5 beta merchants during the Alpha phase (Q2 2026) to meet this threshold for marketplace listing at launch (Q4 2026).</w:t>
      </w:r>
    </w:p>
    <w:p>
      <w:pPr>
        <w:pStyle w:val="ListParagraph"/>
        <w:numPr>
          <w:ilvl w:val="0"/>
          <w:numId w:val="2"/>
        </w:numPr>
        <w:spacing w:after="100"/>
      </w:pPr>
      <w:r>
        <w:rPr>
          <w:rFonts w:ascii="Arial" w:cs="Arial" w:eastAsia="Arial" w:hAnsi="Arial"/>
          <w:b/>
          <w:bCs/>
          <w:color w:val="1E293B"/>
          <w:sz w:val="22"/>
          <w:szCs w:val="22"/>
        </w:rPr>
        <w:t xml:space="preserve">Merchant experience: </w:t>
      </w:r>
      <w:r>
        <w:rPr>
          <w:rFonts w:ascii="Arial" w:cs="Arial" w:eastAsia="Arial" w:hAnsi="Arial"/>
          <w:color w:val="1E293B"/>
          <w:sz w:val="22"/>
          <w:szCs w:val="22"/>
        </w:rPr>
        <w:t xml:space="preserve">Merchant finds Canary in the marketplace, clicks Connect, authorizes via OAuth (read-only access to transaction data), and immediately begins seeing analytics in the Canary web dashboard. No download, no install, no IT department required.</w:t>
      </w:r>
    </w:p>
    <w:p>
      <w:pPr>
        <w:pStyle w:val="ListParagraph"/>
        <w:numPr>
          <w:ilvl w:val="0"/>
          <w:numId w:val="2"/>
        </w:numPr>
        <w:spacing w:after="100"/>
      </w:pPr>
      <w:r>
        <w:rPr>
          <w:rFonts w:ascii="Arial" w:cs="Arial" w:eastAsia="Arial" w:hAnsi="Arial"/>
          <w:b/>
          <w:bCs/>
          <w:color w:val="1E293B"/>
          <w:sz w:val="22"/>
          <w:szCs w:val="22"/>
        </w:rPr>
        <w:t xml:space="preserve">Billing strategy: </w:t>
      </w:r>
      <w:r>
        <w:rPr>
          <w:rFonts w:ascii="Arial" w:cs="Arial" w:eastAsia="Arial" w:hAnsi="Arial"/>
          <w:color w:val="1E293B"/>
          <w:sz w:val="22"/>
          <w:szCs w:val="22"/>
        </w:rPr>
        <w:t xml:space="preserve">Square offers an App Subscriptions billing system (with revenue share to Square), but Canary bills directly via Lightning Network invoice — bypassing the marketplace rev share while still benefiting from marketplace discovery and distribution.</w:t>
      </w:r>
    </w:p>
    <w:p>
      <w:pPr>
        <w:pStyle w:val="Heading2"/>
        <w:spacing w:before="280" w:after="160"/>
      </w:pPr>
      <w:r>
        <w:rPr>
          <w:rFonts w:ascii="Arial" w:cs="Arial" w:eastAsia="Arial" w:hAnsi="Arial"/>
          <w:b/>
          <w:bCs/>
          <w:color w:val="D97706"/>
          <w:sz w:val="28"/>
          <w:szCs w:val="28"/>
        </w:rPr>
        <w:t xml:space="preserve">6.2 Clover App Market (V2)</w:t>
      </w:r>
    </w:p>
    <w:p>
      <w:pPr>
        <w:spacing w:after="160"/>
      </w:pPr>
      <w:r>
        <w:rPr>
          <w:rFonts w:ascii="Arial" w:cs="Arial" w:eastAsia="Arial" w:hAnsi="Arial"/>
          <w:color w:val="1E293B"/>
          <w:sz w:val="22"/>
          <w:szCs w:val="22"/>
        </w:rPr>
        <w:t xml:space="preserve">Clover, backed by Fiserv (processing over 50% of global card transactions), operates a marketplace directly on its hardware devices — merchants browse and install apps on their Station, Mini, or Flex terminal.</w:t>
      </w:r>
    </w:p>
    <w:p>
      <w:pPr>
        <w:pStyle w:val="ListParagraph"/>
        <w:numPr>
          <w:ilvl w:val="0"/>
          <w:numId w:val="2"/>
        </w:numPr>
        <w:spacing w:after="100"/>
      </w:pPr>
      <w:r>
        <w:rPr>
          <w:rFonts w:ascii="Arial" w:cs="Arial" w:eastAsia="Arial" w:hAnsi="Arial"/>
          <w:b/>
          <w:bCs/>
          <w:color w:val="1E293B"/>
          <w:sz w:val="22"/>
          <w:szCs w:val="22"/>
        </w:rPr>
        <w:t xml:space="preserve">Revenue model: </w:t>
      </w:r>
      <w:r>
        <w:rPr>
          <w:rFonts w:ascii="Arial" w:cs="Arial" w:eastAsia="Arial" w:hAnsi="Arial"/>
          <w:color w:val="1E293B"/>
          <w:sz w:val="22"/>
          <w:szCs w:val="22"/>
        </w:rPr>
        <w:t xml:space="preserve">Developers receive 70% of net subscription revenue (Clover retains 30%). Canary’s Lightning billing operates independently of Clover’s subscription system for analytics access.</w:t>
      </w:r>
    </w:p>
    <w:p>
      <w:pPr>
        <w:pStyle w:val="ListParagraph"/>
        <w:numPr>
          <w:ilvl w:val="0"/>
          <w:numId w:val="2"/>
        </w:numPr>
        <w:spacing w:after="100"/>
      </w:pPr>
      <w:r>
        <w:rPr>
          <w:rFonts w:ascii="Arial" w:cs="Arial" w:eastAsia="Arial" w:hAnsi="Arial"/>
          <w:b/>
          <w:bCs/>
          <w:color w:val="1E293B"/>
          <w:sz w:val="22"/>
          <w:szCs w:val="22"/>
        </w:rPr>
        <w:t xml:space="preserve">Approval process: </w:t>
      </w:r>
      <w:r>
        <w:rPr>
          <w:rFonts w:ascii="Arial" w:cs="Arial" w:eastAsia="Arial" w:hAnsi="Arial"/>
          <w:color w:val="1E293B"/>
          <w:sz w:val="22"/>
          <w:szCs w:val="22"/>
        </w:rPr>
        <w:t xml:space="preserve">Requires functional video demo, privacy policy, terms of service, and rigorous functional testing. Clover prohibits apps that integrate with competing payment processors, which does not apply to Canary’s analytics-only integration.</w:t>
      </w:r>
    </w:p>
    <w:p>
      <w:pPr>
        <w:pStyle w:val="ListParagraph"/>
        <w:numPr>
          <w:ilvl w:val="0"/>
          <w:numId w:val="2"/>
        </w:numPr>
        <w:spacing w:after="100"/>
      </w:pPr>
      <w:r>
        <w:rPr>
          <w:rFonts w:ascii="Arial" w:cs="Arial" w:eastAsia="Arial" w:hAnsi="Arial"/>
          <w:b/>
          <w:bCs/>
          <w:color w:val="1E293B"/>
          <w:sz w:val="22"/>
          <w:szCs w:val="22"/>
        </w:rPr>
        <w:t xml:space="preserve">Device targeting: </w:t>
      </w:r>
      <w:r>
        <w:rPr>
          <w:rFonts w:ascii="Arial" w:cs="Arial" w:eastAsia="Arial" w:hAnsi="Arial"/>
          <w:color w:val="1E293B"/>
          <w:sz w:val="22"/>
          <w:szCs w:val="22"/>
        </w:rPr>
        <w:t xml:space="preserve">Gen 1 Clover devices reach end-of-app-update on March 30, 2026. Canary targets Gen 2+ hardware only.</w:t>
      </w:r>
    </w:p>
    <w:p>
      <w:pPr>
        <w:pStyle w:val="Heading2"/>
        <w:spacing w:before="280" w:after="160"/>
      </w:pPr>
      <w:r>
        <w:rPr>
          <w:rFonts w:ascii="Arial" w:cs="Arial" w:eastAsia="Arial" w:hAnsi="Arial"/>
          <w:b/>
          <w:bCs/>
          <w:color w:val="D97706"/>
          <w:sz w:val="28"/>
          <w:szCs w:val="28"/>
        </w:rPr>
        <w:t xml:space="preserve">6.3 Shopify App Store (V2)</w:t>
      </w:r>
    </w:p>
    <w:p>
      <w:pPr>
        <w:spacing w:after="160"/>
      </w:pPr>
      <w:r>
        <w:rPr>
          <w:rFonts w:ascii="Arial" w:cs="Arial" w:eastAsia="Arial" w:hAnsi="Arial"/>
          <w:color w:val="1E293B"/>
          <w:sz w:val="22"/>
          <w:szCs w:val="22"/>
        </w:rPr>
        <w:t xml:space="preserve">Shopify’s App Store serves as a distribution channel for merchants running Shopify POS. Canary positions as an analytics and reporting app (not a POS replacement). As of 2025, all new Shopify apps must use the GraphQL Admin API exclusively. The “Built for Shopify” badge — which increases install rates by approximately 49% — requires meeting Shopify’s strictest design and performance standards.</w:t>
      </w:r>
    </w:p>
    <w:p>
      <w:pPr>
        <w:pStyle w:val="Heading2"/>
        <w:spacing w:before="280" w:after="160"/>
      </w:pPr>
      <w:r>
        <w:rPr>
          <w:rFonts w:ascii="Arial" w:cs="Arial" w:eastAsia="Arial" w:hAnsi="Arial"/>
          <w:b/>
          <w:bCs/>
          <w:color w:val="D97706"/>
          <w:sz w:val="28"/>
          <w:szCs w:val="28"/>
        </w:rPr>
        <w:t xml:space="preserve">6.4 Web Dashboard (Universal Access)</w:t>
      </w:r>
    </w:p>
    <w:p>
      <w:pPr>
        <w:spacing w:after="160"/>
      </w:pPr>
      <w:r>
        <w:rPr>
          <w:rFonts w:ascii="Arial" w:cs="Arial" w:eastAsia="Arial" w:hAnsi="Arial"/>
          <w:color w:val="1E293B"/>
          <w:sz w:val="22"/>
          <w:szCs w:val="22"/>
        </w:rPr>
        <w:t xml:space="preserve">Regardless of marketplace channel, every merchant accesses Canary’s analytics through a responsive web application (Progressive Web App). This single-codebase approach means:</w:t>
      </w:r>
    </w:p>
    <w:p>
      <w:pPr>
        <w:pStyle w:val="ListParagraph"/>
        <w:numPr>
          <w:ilvl w:val="0"/>
          <w:numId w:val="2"/>
        </w:numPr>
        <w:spacing w:after="100"/>
      </w:pPr>
      <w:r>
        <w:rPr>
          <w:rFonts w:ascii="Arial" w:cs="Arial" w:eastAsia="Arial" w:hAnsi="Arial"/>
          <w:b/>
          <w:bCs/>
          <w:color w:val="1E293B"/>
          <w:sz w:val="22"/>
          <w:szCs w:val="22"/>
        </w:rPr>
        <w:t xml:space="preserve">Zero app store commissions: </w:t>
      </w:r>
      <w:r>
        <w:rPr>
          <w:rFonts w:ascii="Arial" w:cs="Arial" w:eastAsia="Arial" w:hAnsi="Arial"/>
          <w:color w:val="1E293B"/>
          <w:sz w:val="22"/>
          <w:szCs w:val="22"/>
        </w:rPr>
        <w:t xml:space="preserve">No 15-30% Apple/Google tax on subscription revenue.</w:t>
      </w:r>
    </w:p>
    <w:p>
      <w:pPr>
        <w:pStyle w:val="ListParagraph"/>
        <w:numPr>
          <w:ilvl w:val="0"/>
          <w:numId w:val="2"/>
        </w:numPr>
        <w:spacing w:after="100"/>
      </w:pPr>
      <w:r>
        <w:rPr>
          <w:rFonts w:ascii="Arial" w:cs="Arial" w:eastAsia="Arial" w:hAnsi="Arial"/>
          <w:b/>
          <w:bCs/>
          <w:color w:val="1E293B"/>
          <w:sz w:val="22"/>
          <w:szCs w:val="22"/>
        </w:rPr>
        <w:t xml:space="preserve">Instant updates: </w:t>
      </w:r>
      <w:r>
        <w:rPr>
          <w:rFonts w:ascii="Arial" w:cs="Arial" w:eastAsia="Arial" w:hAnsi="Arial"/>
          <w:color w:val="1E293B"/>
          <w:sz w:val="22"/>
          <w:szCs w:val="22"/>
        </w:rPr>
        <w:t xml:space="preserve">Feature releases and bug fixes deploy immediately without app store review cycles.</w:t>
      </w:r>
    </w:p>
    <w:p>
      <w:pPr>
        <w:pStyle w:val="ListParagraph"/>
        <w:numPr>
          <w:ilvl w:val="0"/>
          <w:numId w:val="2"/>
        </w:numPr>
        <w:spacing w:after="100"/>
      </w:pPr>
      <w:r>
        <w:rPr>
          <w:rFonts w:ascii="Arial" w:cs="Arial" w:eastAsia="Arial" w:hAnsi="Arial"/>
          <w:b/>
          <w:bCs/>
          <w:color w:val="1E293B"/>
          <w:sz w:val="22"/>
          <w:szCs w:val="22"/>
        </w:rPr>
        <w:t xml:space="preserve">Cross-device access: </w:t>
      </w:r>
      <w:r>
        <w:rPr>
          <w:rFonts w:ascii="Arial" w:cs="Arial" w:eastAsia="Arial" w:hAnsi="Arial"/>
          <w:color w:val="1E293B"/>
          <w:sz w:val="22"/>
          <w:szCs w:val="22"/>
        </w:rPr>
        <w:t xml:space="preserve">Works on any device — merchant’s phone, tablet, laptop, or POS terminal browser.</w:t>
      </w:r>
    </w:p>
    <w:p>
      <w:pPr>
        <w:pStyle w:val="ListParagraph"/>
        <w:numPr>
          <w:ilvl w:val="0"/>
          <w:numId w:val="2"/>
        </w:numPr>
        <w:spacing w:after="100"/>
      </w:pPr>
      <w:r>
        <w:rPr>
          <w:rFonts w:ascii="Arial" w:cs="Arial" w:eastAsia="Arial" w:hAnsi="Arial"/>
          <w:b/>
          <w:bCs/>
          <w:color w:val="1E293B"/>
          <w:sz w:val="22"/>
          <w:szCs w:val="22"/>
        </w:rPr>
        <w:t xml:space="preserve">40-60% lower development cost: </w:t>
      </w:r>
      <w:r>
        <w:rPr>
          <w:rFonts w:ascii="Arial" w:cs="Arial" w:eastAsia="Arial" w:hAnsi="Arial"/>
          <w:color w:val="1E293B"/>
          <w:sz w:val="22"/>
          <w:szCs w:val="22"/>
        </w:rPr>
        <w:t xml:space="preserve">Single codebase versus maintaining separate iOS and Android native apps.</w:t>
      </w:r>
    </w:p>
    <w:p>
      <w:pPr>
        <w:spacing w:after="160"/>
      </w:pPr>
      <w:r>
        <w:rPr>
          <w:rFonts w:ascii="Arial" w:cs="Arial" w:eastAsia="Arial" w:hAnsi="Arial"/>
          <w:color w:val="1E293B"/>
          <w:sz w:val="22"/>
          <w:szCs w:val="22"/>
        </w:rPr>
        <w:t xml:space="preserve">Canary’s distribution strategy is marketplace-first for discovery, web-first for delivery, and Lightning-first for billing — capturing the organic traffic of POS marketplaces while retaining full control of the customer relationship and revenue.</w:t>
      </w:r>
    </w:p>
    <w:p>
      <w:r>
        <w:br w:type="page"/>
      </w:r>
    </w:p>
    <w:p>
      <w:pPr>
        <w:pStyle w:val="Heading2"/>
        <w:spacing w:before="280" w:after="160"/>
      </w:pPr>
      <w:r>
        <w:rPr>
          <w:rFonts w:ascii="Arial" w:cs="Arial" w:eastAsia="Arial" w:hAnsi="Arial"/>
          <w:b/>
          <w:bCs/>
          <w:color w:val="D97706"/>
          <w:sz w:val="28"/>
          <w:szCs w:val="28"/>
        </w:rPr>
        <w:t xml:space="preserve">6.5 Customer Segmentation and Go-to-Market Strategy</w:t>
      </w:r>
    </w:p>
    <w:p>
      <w:pPr>
        <w:spacing w:after="160"/>
      </w:pPr>
      <w:r>
        <w:rPr>
          <w:rFonts w:ascii="Arial" w:cs="Arial" w:eastAsia="Arial" w:hAnsi="Arial"/>
          <w:color w:val="1E293B"/>
          <w:sz w:val="22"/>
          <w:szCs w:val="22"/>
        </w:rPr>
        <w:t xml:space="preserve">Canary’s go-to-market strategy begins in Southern California, within driving distance of the founding team. The initial customer development effort targets confirmed Square merchants in the greater Los Angeles, Orange County, and San Diego metropolitan areas — chains with 3 to 50+ locations that are already generating the transactional data Canary analyzes. This is not spray-and-pray outreach. These are verified Square ecosystem participants identified through Square’s own case studies, press coverage, and merchant directories.</w:t>
      </w:r>
    </w:p>
    <w:p>
      <w:pPr>
        <w:spacing w:before="200" w:after="100"/>
      </w:pPr>
      <w:r>
        <w:rPr>
          <w:rFonts w:ascii="Arial" w:cs="Arial" w:eastAsia="Arial" w:hAnsi="Arial"/>
          <w:b/>
          <w:bCs/>
          <w:color w:val="1E293B"/>
          <w:sz w:val="22"/>
          <w:szCs w:val="22"/>
        </w:rPr>
        <w:t xml:space="preserve">Tier 1: Full Engagement Targets (10–50+ locations, confirmed Square)</w:t>
      </w:r>
    </w:p>
    <w:p>
      <w:pPr>
        <w:spacing w:after="100"/>
      </w:pPr>
      <w:r>
        <w:rPr>
          <w:rFonts w:ascii="Arial" w:cs="Arial" w:eastAsia="Arial" w:hAnsi="Arial"/>
          <w:color w:val="1E293B"/>
          <w:sz w:val="22"/>
          <w:szCs w:val="22"/>
        </w:rPr>
        <w:t xml:space="preserve">The Kebab Shop — 33–50+ locations across California, Texas, and Florida. Heavy SoCal presence (Torrance, El Segundo, Seal Beach, San Diego). Full Square POS ecosystem: KDS, online orders, delivery integration, Customer Directory. Estimated 2M+ transactions per year chain-wide. Mediterranean fast-casual with high-volume counter service — exactly the transaction density where Canary’s refund and void detection adds immediate value.</w:t>
      </w:r>
    </w:p>
    <w:p>
      <w:pPr>
        <w:spacing w:after="100"/>
      </w:pPr>
      <w:r>
        <w:rPr>
          <w:rFonts w:ascii="Arial" w:cs="Arial" w:eastAsia="Arial" w:hAnsi="Arial"/>
          <w:color w:val="1E293B"/>
          <w:sz w:val="22"/>
          <w:szCs w:val="22"/>
        </w:rPr>
        <w:t xml:space="preserve">7 Leaves Cafe — 44 U.S. locations, heavy California concentration. Founded in Westminster, CA with deep Torrance and Orange County presence. Uses Square Register, Handheld (22 drive-thru locations), Loyalty, and scheduling. Recently chose Square as their growth platform. Vietnamese coffee chain with rapid expansion and high per-store transaction counts — the loyalty and scheduling integration makes them ideal for cross-location analytics upsell.</w:t>
      </w:r>
    </w:p>
    <w:p>
      <w:pPr>
        <w:spacing w:before="200" w:after="100"/>
      </w:pPr>
      <w:r>
        <w:rPr>
          <w:rFonts w:ascii="Arial" w:cs="Arial" w:eastAsia="Arial" w:hAnsi="Arial"/>
          <w:b/>
          <w:bCs/>
          <w:color w:val="1E293B"/>
          <w:sz w:val="22"/>
          <w:szCs w:val="22"/>
        </w:rPr>
        <w:t xml:space="preserve">Tier 2: Beta Customer Targets (3–10 locations, confirmed Square, high growth)</w:t>
      </w:r>
    </w:p>
    <w:p>
      <w:pPr>
        <w:spacing w:after="100"/>
      </w:pPr>
      <w:r>
        <w:rPr>
          <w:rFonts w:ascii="Arial" w:cs="Arial" w:eastAsia="Arial" w:hAnsi="Arial"/>
          <w:color w:val="1E293B"/>
          <w:sz w:val="22"/>
          <w:szCs w:val="22"/>
        </w:rPr>
        <w:t xml:space="preserve">Offset Coffee — 5 locations, all South Bay (Torrance, El Segundo, Hermosa Beach, Redondo Beach, Manhattan Beach). Full Square stack: POS, Payroll, Marketing, Loyalty, Team communications. 40% year-over-year growth. Specialty roaster with local cult following. Ideal beta candidate: small enough to onboard quickly, growing fast enough to demonstrate Canary’s value at scale.</w:t>
      </w:r>
    </w:p>
    <w:p>
      <w:pPr>
        <w:spacing w:after="100"/>
      </w:pPr>
      <w:r>
        <w:rPr>
          <w:rFonts w:ascii="Arial" w:cs="Arial" w:eastAsia="Arial" w:hAnsi="Arial"/>
          <w:color w:val="1E293B"/>
          <w:sz w:val="22"/>
          <w:szCs w:val="22"/>
        </w:rPr>
        <w:t xml:space="preserve">Go Get Em Tiger — 8 locations across LA (Larchmont, DTLA, Grand Central Market, ROW DTLA). Multi-year Square user with app integration (Craver). Urban, high-traffic, app-savvy customer base. Coffee and brunch operation with the kind of transaction variety (food + drink + retail merchandise) that exercises multiple Chirp detection domains.</w:t>
      </w:r>
    </w:p>
    <w:p>
      <w:pPr>
        <w:spacing w:after="100"/>
      </w:pPr>
      <w:r>
        <w:rPr>
          <w:rFonts w:ascii="Arial" w:cs="Arial" w:eastAsia="Arial" w:hAnsi="Arial"/>
          <w:color w:val="1E293B"/>
          <w:sz w:val="22"/>
          <w:szCs w:val="22"/>
        </w:rPr>
        <w:t xml:space="preserve">Steelhead Coffee — 3 locations in Long Beach (SteelCraft, Wardlow, Belmont Heights). Confirmed Square user (.square.site online store and payments). Artisan cafe in high-foot-traffic locations. Small enough for hands-on beta support, close enough for in-person onboarding.</w:t>
      </w:r>
    </w:p>
    <w:p>
      <w:pPr>
        <w:spacing w:after="100"/>
      </w:pPr>
      <w:r>
        <w:rPr>
          <w:rFonts w:ascii="Arial" w:cs="Arial" w:eastAsia="Arial" w:hAnsi="Arial"/>
          <w:color w:val="1E293B"/>
          <w:sz w:val="22"/>
          <w:szCs w:val="22"/>
        </w:rPr>
        <w:t xml:space="preserve">Wally’s Cafe — 3 locations (Costa Mesa plus Bay Area and Sacramento). Mediterranean, using Square for Restaurants with DoorDash integration. Recently tripled locations with 2–3x online order boost. New OC location makes them an accessible outreach target.</w:t>
      </w:r>
    </w:p>
    <w:p>
      <w:pPr>
        <w:spacing w:before="200" w:after="100"/>
      </w:pPr>
      <w:r>
        <w:rPr>
          <w:rFonts w:ascii="Arial" w:cs="Arial" w:eastAsia="Arial" w:hAnsi="Arial"/>
          <w:b/>
          <w:bCs/>
          <w:color w:val="1E293B"/>
          <w:sz w:val="22"/>
          <w:szCs w:val="22"/>
        </w:rPr>
        <w:t xml:space="preserve">The Triangulation Strategy</w:t>
      </w:r>
    </w:p>
    <w:p>
      <w:pPr>
        <w:spacing w:after="160"/>
      </w:pPr>
      <w:r>
        <w:rPr>
          <w:rFonts w:ascii="Arial" w:cs="Arial" w:eastAsia="Arial" w:hAnsi="Arial"/>
          <w:color w:val="1E293B"/>
          <w:sz w:val="22"/>
          <w:szCs w:val="22"/>
        </w:rPr>
        <w:t xml:space="preserve">Canary’s go-to-market does not depend on marketplace listing alone. The strategy triangulates three simultaneous efforts: (1) Quiet certification — meet Square Marketplace requirements with minimum viable public profile while the product hardens in beta. (2) Partner development — onboard a mid-size franchise partner (Tier 1 target) who can validate the cross-location analytics value proposition with real operational data. (3) Coordinated launch — achieve Marketplace listing and announce the franchise partnership simultaneously, creating launch momentum that organic discovery alone cannot generate. The goal is to arrive at the Square Marketplace with a proven partner, real case study data, and a marketing campaign ready to execute — not as another anonymous app in the directory.</w:t>
      </w:r>
    </w:p>
    <w:p>
      <w:pPr>
        <w:spacing w:before="200" w:after="100"/>
      </w:pPr>
      <w:r>
        <w:rPr>
          <w:rFonts w:ascii="Arial" w:cs="Arial" w:eastAsia="Arial" w:hAnsi="Arial"/>
          <w:b/>
          <w:bCs/>
          <w:color w:val="1E293B"/>
          <w:sz w:val="22"/>
          <w:szCs w:val="22"/>
        </w:rPr>
        <w:t xml:space="preserve">Merchant Pain Points Driving Demand</w:t>
      </w:r>
    </w:p>
    <w:p>
      <w:pPr>
        <w:spacing w:after="160"/>
      </w:pPr>
      <w:r>
        <w:rPr>
          <w:rFonts w:ascii="Arial" w:cs="Arial" w:eastAsia="Arial" w:hAnsi="Arial"/>
          <w:color w:val="1E293B"/>
          <w:sz w:val="22"/>
          <w:szCs w:val="22"/>
        </w:rPr>
        <w:t xml:space="preserve">Social media analysis of Square merchant communities (Reddit, BBB, Trustpilot, 2025–2026) reveals consistent pain points that Canary is positioned to address: sudden account deactivations with no advance warning, funds held for 30–90 days without explanation, POS outages during peak business hours with no merchant notification, and unresponsive support channels. These are not LP-specific complaints, but they reveal a merchant base that is underserved, frustrated, and actively seeking tools that give them more visibility and control over their own operations. Canary’s value proposition extends beyond fraud detection into operational intelligence — the same transactional data that powers Chirp alerts can also surface the business health indicators that help merchants run better stores.</w:t>
      </w:r>
    </w:p>
    <w:p>
      <w:r>
        <w:br w:type="page"/>
      </w:r>
    </w:p>
    <w:p>
      <w:pPr>
        <w:pStyle w:val="Heading1"/>
        <w:spacing w:before="360" w:after="200"/>
      </w:pPr>
      <w:r>
        <w:rPr>
          <w:rFonts w:ascii="Arial" w:cs="Arial" w:eastAsia="Arial" w:hAnsi="Arial"/>
          <w:b/>
          <w:bCs/>
          <w:color w:val="0F1923"/>
          <w:sz w:val="36"/>
          <w:szCs w:val="36"/>
        </w:rPr>
        <w:t xml:space="preserve">7. Customer Identity and Privacy Architecture</w:t>
      </w:r>
    </w:p>
    <w:p>
      <w:pPr>
        <w:spacing w:after="160"/>
      </w:pPr>
      <w:r>
        <w:rPr>
          <w:rFonts w:ascii="Arial" w:cs="Arial" w:eastAsia="Arial" w:hAnsi="Arial"/>
          <w:color w:val="1E293B"/>
          <w:sz w:val="22"/>
          <w:szCs w:val="22"/>
        </w:rPr>
        <w:t xml:space="preserve">Loss prevention analytics depends on the ability to identify patterns across transactions — not just at the employee and location level, but at the customer level. Serial returners, refund abusers, and organized retail crime rings create transactional footprints that are only visible when individual transactions are linked to a consistent identity. Canary achieves this without ever handling sensitive PII.</w:t>
      </w:r>
    </w:p>
    <w:p>
      <w:pPr>
        <w:pStyle w:val="Heading2"/>
        <w:spacing w:before="280" w:after="160"/>
      </w:pPr>
      <w:r>
        <w:rPr>
          <w:rFonts w:ascii="Arial" w:cs="Arial" w:eastAsia="Arial" w:hAnsi="Arial"/>
          <w:b/>
          <w:bCs/>
          <w:color w:val="D97706"/>
          <w:sz w:val="28"/>
          <w:szCs w:val="28"/>
        </w:rPr>
        <w:t xml:space="preserve">7.1 Square’s Three-Layer Identity Model</w:t>
      </w:r>
    </w:p>
    <w:p>
      <w:pPr>
        <w:spacing w:after="160"/>
      </w:pPr>
      <w:r>
        <w:rPr>
          <w:rFonts w:ascii="Arial" w:cs="Arial" w:eastAsia="Arial" w:hAnsi="Arial"/>
          <w:color w:val="1E293B"/>
          <w:sz w:val="22"/>
          <w:szCs w:val="22"/>
        </w:rPr>
        <w:t xml:space="preserve">Square’s API provides three complementary identity layers that Canary leverages for customer profiling and cross-transaction pattern detection:</w:t>
      </w:r>
    </w:p>
    <w:p>
      <w:pPr>
        <w:pStyle w:val="Heading3"/>
        <w:spacing w:before="200" w:after="120"/>
      </w:pPr>
      <w:r>
        <w:rPr>
          <w:rFonts w:ascii="Arial" w:cs="Arial" w:eastAsia="Arial" w:hAnsi="Arial"/>
          <w:b/>
          <w:bCs/>
          <w:color w:val="0F1923"/>
          <w:sz w:val="24"/>
          <w:szCs w:val="24"/>
        </w:rPr>
        <w:t xml:space="preserve">Layer 1: Card Fingerprint (Primary Anonymous Identifier)</w:t>
      </w:r>
    </w:p>
    <w:p>
      <w:pPr>
        <w:spacing w:after="160"/>
      </w:pPr>
      <w:r>
        <w:rPr>
          <w:rFonts w:ascii="Arial" w:cs="Arial" w:eastAsia="Arial" w:hAnsi="Arial"/>
          <w:color w:val="1E293B"/>
          <w:sz w:val="22"/>
          <w:szCs w:val="22"/>
        </w:rPr>
        <w:t xml:space="preserve">Every payment processed through Square returns a deterministic card fingerprint — a hashed token (prefixed sq-1-) that uniquely identifies a specific payment card. The same physical card always produces the same fingerprint, regardless of which merchant processes the transaction. This is Canary’s primary identity anchor for Consumer KAP profiles.</w:t>
      </w:r>
    </w:p>
    <w:p>
      <w:pPr>
        <w:pStyle w:val="ListParagraph"/>
        <w:numPr>
          <w:ilvl w:val="0"/>
          <w:numId w:val="2"/>
        </w:numPr>
        <w:spacing w:after="100"/>
      </w:pPr>
      <w:r>
        <w:rPr>
          <w:rFonts w:ascii="Arial" w:cs="Arial" w:eastAsia="Arial" w:hAnsi="Arial"/>
          <w:b/>
          <w:bCs/>
          <w:color w:val="1E293B"/>
          <w:sz w:val="22"/>
          <w:szCs w:val="22"/>
        </w:rPr>
        <w:t xml:space="preserve">Cross-merchant tracking: </w:t>
      </w:r>
      <w:r>
        <w:rPr>
          <w:rFonts w:ascii="Arial" w:cs="Arial" w:eastAsia="Arial" w:hAnsi="Arial"/>
          <w:color w:val="1E293B"/>
          <w:sz w:val="22"/>
          <w:szCs w:val="22"/>
        </w:rPr>
        <w:t xml:space="preserve">A consumer shopping at multiple stores in the Canary network produces the same fingerprint at each one — enabling cross-merchant pattern detection (serial returners, refund abusers) without holding any PII.</w:t>
      </w:r>
    </w:p>
    <w:p>
      <w:pPr>
        <w:pStyle w:val="ListParagraph"/>
        <w:numPr>
          <w:ilvl w:val="0"/>
          <w:numId w:val="2"/>
        </w:numPr>
        <w:spacing w:after="100"/>
      </w:pPr>
      <w:r>
        <w:rPr>
          <w:rFonts w:ascii="Arial" w:cs="Arial" w:eastAsia="Arial" w:hAnsi="Arial"/>
          <w:b/>
          <w:bCs/>
          <w:color w:val="1E293B"/>
          <w:sz w:val="22"/>
          <w:szCs w:val="22"/>
        </w:rPr>
        <w:t xml:space="preserve">No sensitive data: </w:t>
      </w:r>
      <w:r>
        <w:rPr>
          <w:rFonts w:ascii="Arial" w:cs="Arial" w:eastAsia="Arial" w:hAnsi="Arial"/>
          <w:color w:val="1E293B"/>
          <w:sz w:val="22"/>
          <w:szCs w:val="22"/>
        </w:rPr>
        <w:t xml:space="preserve">The fingerprint is a one-way hash. It cannot be reversed to recover the card number. Canary never sees, stores, or transmits the full PAN (Primary Account Number).</w:t>
      </w:r>
    </w:p>
    <w:p>
      <w:pPr>
        <w:pStyle w:val="ListParagraph"/>
        <w:numPr>
          <w:ilvl w:val="0"/>
          <w:numId w:val="2"/>
        </w:numPr>
        <w:spacing w:after="100"/>
      </w:pPr>
      <w:r>
        <w:rPr>
          <w:rFonts w:ascii="Arial" w:cs="Arial" w:eastAsia="Arial" w:hAnsi="Arial"/>
          <w:b/>
          <w:bCs/>
          <w:color w:val="1E293B"/>
          <w:sz w:val="22"/>
          <w:szCs w:val="22"/>
        </w:rPr>
        <w:t xml:space="preserve">Enrichment fields: </w:t>
      </w:r>
      <w:r>
        <w:rPr>
          <w:rFonts w:ascii="Arial" w:cs="Arial" w:eastAsia="Arial" w:hAnsi="Arial"/>
          <w:color w:val="1E293B"/>
          <w:sz w:val="22"/>
          <w:szCs w:val="22"/>
        </w:rPr>
        <w:t xml:space="preserve">Each payment also includes card_brand, last_4, exp_month, exp_year, card_type (CREDIT/DEBIT), and prepaid_type — providing behavioral segmentation without PII exposure.</w:t>
      </w:r>
    </w:p>
    <w:p>
      <w:pPr>
        <w:pStyle w:val="Heading3"/>
        <w:spacing w:before="200" w:after="120"/>
      </w:pPr>
      <w:r>
        <w:rPr>
          <w:rFonts w:ascii="Arial" w:cs="Arial" w:eastAsia="Arial" w:hAnsi="Arial"/>
          <w:b/>
          <w:bCs/>
          <w:color w:val="0F1923"/>
          <w:sz w:val="24"/>
          <w:szCs w:val="24"/>
        </w:rPr>
        <w:t xml:space="preserve">Layer 2: Customer ID (Optional Enriched Identity)</w:t>
      </w:r>
    </w:p>
    <w:p>
      <w:pPr>
        <w:spacing w:after="160"/>
      </w:pPr>
      <w:r>
        <w:rPr>
          <w:rFonts w:ascii="Arial" w:cs="Arial" w:eastAsia="Arial" w:hAnsi="Arial"/>
          <w:color w:val="1E293B"/>
          <w:sz w:val="22"/>
          <w:szCs w:val="22"/>
        </w:rPr>
        <w:t xml:space="preserve">When a merchant maintains customer profiles in Square, each payment is linked to a customer_id. Square may also create “instant profiles” asynchronously by inferring identity from card data. The Customer object provides optional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Canary Usage</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customer_id</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Square-assigned UUID</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Primary join key for enriched profiles</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given_name / family_name</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Optional PII</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Display only — never used in scoring</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email_address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Optional PII</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Alert routing (with merchant consent)</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phone_number</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Optional PII</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Not stored by Canary</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creation_source</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Enum</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Distinguishes explicit vs. instant profiles</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group_ids / segment_ids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Square segments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Behavioral cohort correlation</w:t>
            </w:r>
          </w:p>
        </w:tc>
      </w:tr>
    </w:tbl>
    <w:p>
      <w:pPr>
        <w:spacing w:after="200"/>
      </w:pPr>
    </w:p>
    <w:p>
      <w:pPr>
        <w:pStyle w:val="Heading3"/>
        <w:spacing w:before="200" w:after="120"/>
      </w:pPr>
      <w:r>
        <w:rPr>
          <w:rFonts w:ascii="Arial" w:cs="Arial" w:eastAsia="Arial" w:hAnsi="Arial"/>
          <w:b/>
          <w:bCs/>
          <w:color w:val="0F1923"/>
          <w:sz w:val="24"/>
          <w:szCs w:val="24"/>
        </w:rPr>
        <w:t xml:space="preserve">Layer 3: Order-Payment Linkage</w:t>
      </w:r>
    </w:p>
    <w:p>
      <w:pPr>
        <w:spacing w:after="160"/>
      </w:pPr>
      <w:r>
        <w:rPr>
          <w:rFonts w:ascii="Arial" w:cs="Arial" w:eastAsia="Arial" w:hAnsi="Arial"/>
          <w:color w:val="1E293B"/>
          <w:sz w:val="22"/>
          <w:szCs w:val="22"/>
        </w:rPr>
        <w:t xml:space="preserve">Square’s bidirectional Order.tenders.payment_id and Payment.order_id fields allow Canary to reconstruct the complete transaction chain — linking line items, discounts, refunds, and payments into a unified event graph per customer identity.</w:t>
      </w:r>
    </w:p>
    <w:p>
      <w:pPr>
        <w:pStyle w:val="Heading2"/>
        <w:spacing w:before="280" w:after="160"/>
      </w:pPr>
      <w:r>
        <w:rPr>
          <w:rFonts w:ascii="Arial" w:cs="Arial" w:eastAsia="Arial" w:hAnsi="Arial"/>
          <w:b/>
          <w:bCs/>
          <w:color w:val="D97706"/>
          <w:sz w:val="28"/>
          <w:szCs w:val="28"/>
        </w:rPr>
        <w:t xml:space="preserve">7.2 What Canary Does NOT Collect</w:t>
      </w:r>
    </w:p>
    <w:p>
      <w:pPr>
        <w:spacing w:after="160"/>
      </w:pPr>
      <w:r>
        <w:rPr>
          <w:rFonts w:ascii="Arial" w:cs="Arial" w:eastAsia="Arial" w:hAnsi="Arial"/>
          <w:color w:val="1E293B"/>
          <w:sz w:val="22"/>
          <w:szCs w:val="22"/>
        </w:rPr>
        <w:t xml:space="preserve">Canary’s data model is designed with a privacy-first posture. The platform never collects, stores, or processes:</w:t>
      </w:r>
    </w:p>
    <w:p>
      <w:pPr>
        <w:pStyle w:val="ListParagraph"/>
        <w:numPr>
          <w:ilvl w:val="0"/>
          <w:numId w:val="2"/>
        </w:numPr>
        <w:spacing w:after="100"/>
      </w:pPr>
      <w:r>
        <w:rPr>
          <w:rFonts w:ascii="Arial" w:cs="Arial" w:eastAsia="Arial" w:hAnsi="Arial"/>
          <w:b/>
          <w:bCs/>
          <w:color w:val="1E293B"/>
          <w:sz w:val="22"/>
          <w:szCs w:val="22"/>
        </w:rPr>
        <w:t xml:space="preserve">Government identifiers: </w:t>
      </w:r>
      <w:r>
        <w:rPr>
          <w:rFonts w:ascii="Arial" w:cs="Arial" w:eastAsia="Arial" w:hAnsi="Arial"/>
          <w:color w:val="1E293B"/>
          <w:sz w:val="22"/>
          <w:szCs w:val="22"/>
        </w:rPr>
        <w:t xml:space="preserve">No SSN, driver’s license, passport, or tax ID numbers.</w:t>
      </w:r>
    </w:p>
    <w:p>
      <w:pPr>
        <w:pStyle w:val="ListParagraph"/>
        <w:numPr>
          <w:ilvl w:val="0"/>
          <w:numId w:val="2"/>
        </w:numPr>
        <w:spacing w:after="100"/>
      </w:pPr>
      <w:r>
        <w:rPr>
          <w:rFonts w:ascii="Arial" w:cs="Arial" w:eastAsia="Arial" w:hAnsi="Arial"/>
          <w:b/>
          <w:bCs/>
          <w:color w:val="1E293B"/>
          <w:sz w:val="22"/>
          <w:szCs w:val="22"/>
        </w:rPr>
        <w:t xml:space="preserve">Full payment card numbers: </w:t>
      </w:r>
      <w:r>
        <w:rPr>
          <w:rFonts w:ascii="Arial" w:cs="Arial" w:eastAsia="Arial" w:hAnsi="Arial"/>
          <w:color w:val="1E293B"/>
          <w:sz w:val="22"/>
          <w:szCs w:val="22"/>
        </w:rPr>
        <w:t xml:space="preserve">Canary never sees the PAN. Only the tokenized fingerprint, brand, last 4, and card type.</w:t>
      </w:r>
    </w:p>
    <w:p>
      <w:pPr>
        <w:pStyle w:val="ListParagraph"/>
        <w:numPr>
          <w:ilvl w:val="0"/>
          <w:numId w:val="2"/>
        </w:numPr>
        <w:spacing w:after="100"/>
      </w:pPr>
      <w:r>
        <w:rPr>
          <w:rFonts w:ascii="Arial" w:cs="Arial" w:eastAsia="Arial" w:hAnsi="Arial"/>
          <w:b/>
          <w:bCs/>
          <w:color w:val="1E293B"/>
          <w:sz w:val="22"/>
          <w:szCs w:val="22"/>
        </w:rPr>
        <w:t xml:space="preserve">Biometric data: </w:t>
      </w:r>
      <w:r>
        <w:rPr>
          <w:rFonts w:ascii="Arial" w:cs="Arial" w:eastAsia="Arial" w:hAnsi="Arial"/>
          <w:color w:val="1E293B"/>
          <w:sz w:val="22"/>
          <w:szCs w:val="22"/>
        </w:rPr>
        <w:t xml:space="preserve">No facial recognition, fingerprints, or behavioral biometrics.</w:t>
      </w:r>
    </w:p>
    <w:p>
      <w:pPr>
        <w:pStyle w:val="ListParagraph"/>
        <w:numPr>
          <w:ilvl w:val="0"/>
          <w:numId w:val="2"/>
        </w:numPr>
        <w:spacing w:after="100"/>
      </w:pPr>
      <w:r>
        <w:rPr>
          <w:rFonts w:ascii="Arial" w:cs="Arial" w:eastAsia="Arial" w:hAnsi="Arial"/>
          <w:b/>
          <w:bCs/>
          <w:color w:val="1E293B"/>
          <w:sz w:val="22"/>
          <w:szCs w:val="22"/>
        </w:rPr>
        <w:t xml:space="preserve">Location tracking: </w:t>
      </w:r>
      <w:r>
        <w:rPr>
          <w:rFonts w:ascii="Arial" w:cs="Arial" w:eastAsia="Arial" w:hAnsi="Arial"/>
          <w:color w:val="1E293B"/>
          <w:sz w:val="22"/>
          <w:szCs w:val="22"/>
        </w:rPr>
        <w:t xml:space="preserve">No GPS, geofencing, or device-level location data beyond the merchant’s registered store address.</w:t>
      </w:r>
    </w:p>
    <w:p>
      <w:pPr>
        <w:pStyle w:val="Heading2"/>
        <w:spacing w:before="280" w:after="160"/>
      </w:pPr>
      <w:r>
        <w:rPr>
          <w:rFonts w:ascii="Arial" w:cs="Arial" w:eastAsia="Arial" w:hAnsi="Arial"/>
          <w:b/>
          <w:bCs/>
          <w:color w:val="D97706"/>
          <w:sz w:val="28"/>
          <w:szCs w:val="28"/>
        </w:rPr>
        <w:t xml:space="preserve">7.3 Privacy Architecture</w:t>
      </w:r>
    </w:p>
    <w:p>
      <w:pPr>
        <w:spacing w:after="160"/>
      </w:pPr>
      <w:r>
        <w:rPr>
          <w:rFonts w:ascii="Arial" w:cs="Arial" w:eastAsia="Arial" w:hAnsi="Arial"/>
          <w:color w:val="1E293B"/>
          <w:sz w:val="22"/>
          <w:szCs w:val="22"/>
        </w:rPr>
        <w:t xml:space="preserve">Canary’s privacy model operates on the principle of minimum viable identity: use the least amount of identifying information necessary to detect loss patterns, and never more.</w:t>
      </w:r>
    </w:p>
    <w:p>
      <w:pPr>
        <w:pStyle w:val="ListParagraph"/>
        <w:numPr>
          <w:ilvl w:val="0"/>
          <w:numId w:val="2"/>
        </w:numPr>
        <w:spacing w:after="100"/>
      </w:pPr>
      <w:r>
        <w:rPr>
          <w:rFonts w:ascii="Arial" w:cs="Arial" w:eastAsia="Arial" w:hAnsi="Arial"/>
          <w:b/>
          <w:bCs/>
          <w:color w:val="1E293B"/>
          <w:sz w:val="22"/>
          <w:szCs w:val="22"/>
        </w:rPr>
        <w:t xml:space="preserve">Fingerprint-first scoring: </w:t>
      </w:r>
      <w:r>
        <w:rPr>
          <w:rFonts w:ascii="Arial" w:cs="Arial" w:eastAsia="Arial" w:hAnsi="Arial"/>
          <w:color w:val="1E293B"/>
          <w:sz w:val="22"/>
          <w:szCs w:val="22"/>
        </w:rPr>
        <w:t xml:space="preserve">Consumer KAP scores are computed against card fingerprints, not named individuals. A merchant sees “Card ending 4821 has a KAP score of 78 (High Risk)” — not a person’s name.</w:t>
      </w:r>
    </w:p>
    <w:p>
      <w:pPr>
        <w:pStyle w:val="ListParagraph"/>
        <w:numPr>
          <w:ilvl w:val="0"/>
          <w:numId w:val="2"/>
        </w:numPr>
        <w:spacing w:after="100"/>
      </w:pPr>
      <w:r>
        <w:rPr>
          <w:rFonts w:ascii="Arial" w:cs="Arial" w:eastAsia="Arial" w:hAnsi="Arial"/>
          <w:b/>
          <w:bCs/>
          <w:color w:val="1E293B"/>
          <w:sz w:val="22"/>
          <w:szCs w:val="22"/>
        </w:rPr>
        <w:t xml:space="preserve">Anonymized cross-network aggregation: </w:t>
      </w:r>
      <w:r>
        <w:rPr>
          <w:rFonts w:ascii="Arial" w:cs="Arial" w:eastAsia="Arial" w:hAnsi="Arial"/>
          <w:color w:val="1E293B"/>
          <w:sz w:val="22"/>
          <w:szCs w:val="22"/>
        </w:rPr>
        <w:t xml:space="preserve">When Canary detects patterns across multiple merchants, the cross-merchant data is aggregated at the fingerprint level with a minimum sample size of 10 to prevent re-identification.</w:t>
      </w:r>
    </w:p>
    <w:p>
      <w:pPr>
        <w:pStyle w:val="ListParagraph"/>
        <w:numPr>
          <w:ilvl w:val="0"/>
          <w:numId w:val="2"/>
        </w:numPr>
        <w:spacing w:after="100"/>
      </w:pPr>
      <w:r>
        <w:rPr>
          <w:rFonts w:ascii="Arial" w:cs="Arial" w:eastAsia="Arial" w:hAnsi="Arial"/>
          <w:b/>
          <w:bCs/>
          <w:color w:val="1E293B"/>
          <w:sz w:val="22"/>
          <w:szCs w:val="22"/>
        </w:rPr>
        <w:t xml:space="preserve">Tenant isolation: </w:t>
      </w:r>
      <w:r>
        <w:rPr>
          <w:rFonts w:ascii="Arial" w:cs="Arial" w:eastAsia="Arial" w:hAnsi="Arial"/>
          <w:color w:val="1E293B"/>
          <w:sz w:val="22"/>
          <w:szCs w:val="22"/>
        </w:rPr>
        <w:t xml:space="preserve">Customer profiles from Merchant A are never visible to Merchant B. Cross-merchant analytics operate only at the anonymized fingerprint aggregate level.</w:t>
      </w:r>
    </w:p>
    <w:p>
      <w:pPr>
        <w:pStyle w:val="ListParagraph"/>
        <w:numPr>
          <w:ilvl w:val="0"/>
          <w:numId w:val="2"/>
        </w:numPr>
        <w:spacing w:after="100"/>
      </w:pPr>
      <w:r>
        <w:rPr>
          <w:rFonts w:ascii="Arial" w:cs="Arial" w:eastAsia="Arial" w:hAnsi="Arial"/>
          <w:b/>
          <w:bCs/>
          <w:color w:val="1E293B"/>
          <w:sz w:val="22"/>
          <w:szCs w:val="22"/>
        </w:rPr>
        <w:t xml:space="preserve">Data retention limits: </w:t>
      </w:r>
      <w:r>
        <w:rPr>
          <w:rFonts w:ascii="Arial" w:cs="Arial" w:eastAsia="Arial" w:hAnsi="Arial"/>
          <w:color w:val="1E293B"/>
          <w:sz w:val="22"/>
          <w:szCs w:val="22"/>
        </w:rPr>
        <w:t xml:space="preserve">Transaction data is retained for 13 months (rolling). Computed metrics and KAP scores are retained for 24 months. Raw PII fields (names, emails) are purged on merchant offboarding.</w:t>
      </w:r>
    </w:p>
    <w:p>
      <w:pPr>
        <w:pStyle w:val="ListParagraph"/>
        <w:numPr>
          <w:ilvl w:val="0"/>
          <w:numId w:val="2"/>
        </w:numPr>
        <w:spacing w:after="100"/>
      </w:pPr>
      <w:r>
        <w:rPr>
          <w:rFonts w:ascii="Arial" w:cs="Arial" w:eastAsia="Arial" w:hAnsi="Arial"/>
          <w:b/>
          <w:bCs/>
          <w:color w:val="1E293B"/>
          <w:sz w:val="22"/>
          <w:szCs w:val="22"/>
        </w:rPr>
        <w:t xml:space="preserve">Compliance readiness: </w:t>
      </w:r>
      <w:r>
        <w:rPr>
          <w:rFonts w:ascii="Arial" w:cs="Arial" w:eastAsia="Arial" w:hAnsi="Arial"/>
          <w:color w:val="1E293B"/>
          <w:sz w:val="22"/>
          <w:szCs w:val="22"/>
        </w:rPr>
        <w:t xml:space="preserve">Canary’s data model is designed for CCPA and state-level consumer privacy law compliance. No data is sold to third parties. Consumer data deletion requests can be honored by purging the fingerprint-to-metric mapping.</w:t>
      </w:r>
    </w:p>
    <w:p>
      <w:pPr>
        <w:pStyle w:val="Heading2"/>
        <w:spacing w:before="280" w:after="160"/>
      </w:pPr>
      <w:r>
        <w:rPr>
          <w:rFonts w:ascii="Arial" w:cs="Arial" w:eastAsia="Arial" w:hAnsi="Arial"/>
          <w:b/>
          <w:bCs/>
          <w:color w:val="D97706"/>
          <w:sz w:val="28"/>
          <w:szCs w:val="28"/>
        </w:rPr>
        <w:t xml:space="preserve">7.4 Compliance Framework</w:t>
      </w:r>
    </w:p>
    <w:p>
      <w:pPr>
        <w:pStyle w:val="Heading3"/>
        <w:spacing w:before="200" w:after="120"/>
      </w:pPr>
      <w:r>
        <w:rPr>
          <w:rFonts w:ascii="Arial" w:cs="Arial" w:eastAsia="Arial" w:hAnsi="Arial"/>
          <w:b/>
          <w:bCs/>
          <w:color w:val="0F1923"/>
          <w:sz w:val="24"/>
          <w:szCs w:val="24"/>
        </w:rPr>
        <w:t xml:space="preserve">PCI DSS: Outside Scope by Architecture</w:t>
      </w:r>
    </w:p>
    <w:p>
      <w:pPr>
        <w:spacing w:after="160"/>
      </w:pPr>
      <w:r>
        <w:rPr>
          <w:rFonts w:ascii="Arial" w:cs="Arial" w:eastAsia="Arial" w:hAnsi="Arial"/>
          <w:color w:val="1E293B"/>
          <w:sz w:val="22"/>
          <w:szCs w:val="22"/>
        </w:rPr>
        <w:t xml:space="preserve">Canary is an analytics and reporting tool that exists entirely outside the PCI DSS cardholder data environment (CDE). Canary never receives, processes, stores, or transmits the Primary Account Number (PAN), CVV, PIN, or magnetic stripe data. The card.fingerprint is a one-way cryptographic hash generated by Square’s PCI-certified infrastructure — classified as a derived value, not cardholder data, under PCI DSS v4.0 Requirement 3. This out-of-scope positioning eliminates PCI compliance overhead for both Canary and its merchants.</w:t>
      </w:r>
    </w:p>
    <w:p>
      <w:pPr>
        <w:pStyle w:val="Heading3"/>
        <w:spacing w:before="200" w:after="120"/>
      </w:pPr>
      <w:r>
        <w:rPr>
          <w:rFonts w:ascii="Arial" w:cs="Arial" w:eastAsia="Arial" w:hAnsi="Arial"/>
          <w:b/>
          <w:bCs/>
          <w:color w:val="0F1923"/>
          <w:sz w:val="24"/>
          <w:szCs w:val="24"/>
        </w:rPr>
        <w:t xml:space="preserve">ISO 27001: Information Security Management</w:t>
      </w:r>
    </w:p>
    <w:p>
      <w:pPr>
        <w:spacing w:after="160"/>
      </w:pPr>
      <w:r>
        <w:rPr>
          <w:rFonts w:ascii="Arial" w:cs="Arial" w:eastAsia="Arial" w:hAnsi="Arial"/>
          <w:color w:val="1E293B"/>
          <w:sz w:val="22"/>
          <w:szCs w:val="22"/>
        </w:rPr>
        <w:t xml:space="preserve">Canary’s security architecture is designed for ISO 27001:2022 compliance from day one, with formal certification targeted for Year 2. The information security management system (ISMS) covers access control (RBAC + RLS), cryptography (AES-256-GCM at rest, TLS 1.3 in transit, HSM-backed key management), operations security (change management, vulnerability scanning, audit logging), incident management, and regulatory compliance monitoring.</w:t>
      </w:r>
    </w:p>
    <w:p>
      <w:pPr>
        <w:pStyle w:val="Heading3"/>
        <w:spacing w:before="200" w:after="120"/>
      </w:pPr>
      <w:r>
        <w:rPr>
          <w:rFonts w:ascii="Arial" w:cs="Arial" w:eastAsia="Arial" w:hAnsi="Arial"/>
          <w:b/>
          <w:bCs/>
          <w:color w:val="0F1923"/>
          <w:sz w:val="24"/>
          <w:szCs w:val="24"/>
        </w:rPr>
        <w:t xml:space="preserve">SOC 2 Type II</w:t>
      </w:r>
    </w:p>
    <w:p>
      <w:pPr>
        <w:spacing w:after="160"/>
      </w:pPr>
      <w:r>
        <w:rPr>
          <w:rFonts w:ascii="Arial" w:cs="Arial" w:eastAsia="Arial" w:hAnsi="Arial"/>
          <w:color w:val="1E293B"/>
          <w:sz w:val="22"/>
          <w:szCs w:val="22"/>
        </w:rPr>
        <w:t xml:space="preserve">SOC 2 Type II certification targeting Q4 2027, covering Trust Services Criteria for Security, Availability, and Confidentiality. SOC 2 readiness is built into the architecture through automated evidence collection — infrastructure-as-code audit trails, access logs, deployment records, and incident tracking.</w:t>
      </w:r>
    </w:p>
    <w:p>
      <w:r>
        <w:br w:type="page"/>
      </w:r>
    </w:p>
    <w:p>
      <w:pPr>
        <w:pStyle w:val="Heading1"/>
        <w:spacing w:before="360" w:after="200"/>
      </w:pPr>
      <w:r>
        <w:rPr>
          <w:rFonts w:ascii="Arial" w:cs="Arial" w:eastAsia="Arial" w:hAnsi="Arial"/>
          <w:b/>
          <w:bCs/>
          <w:color w:val="0F1923"/>
          <w:sz w:val="36"/>
          <w:szCs w:val="36"/>
        </w:rPr>
        <w:t xml:space="preserve">8.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34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Locations</w:t>
            </w:r>
          </w:p>
        </w:tc>
        <w:tc>
          <w:tcPr>
            <w:tcW w:type="dxa" w:w="234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Starter</w:t>
            </w:r>
          </w:p>
        </w:tc>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$49/mo (Lightning)</w:t>
            </w:r>
          </w:p>
        </w:tc>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1 location</w:t>
            </w:r>
          </w:p>
        </w:tc>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Core metrics, alerts, dashboard, email notifications</w:t>
            </w:r>
          </w:p>
        </w:tc>
      </w:tr>
      <w:tr>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Professional</w:t>
            </w:r>
          </w:p>
        </w:tc>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$99/mo (Lightning)</w:t>
            </w:r>
          </w:p>
        </w:tc>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Up to 5 locations</w:t>
            </w:r>
          </w:p>
        </w:tc>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 KAP scoring, trend detection, SMS alerts, API access</w:t>
            </w:r>
          </w:p>
        </w:tc>
      </w:tr>
      <w:tr>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Enterprise</w:t>
            </w:r>
          </w:p>
        </w:tc>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$199/mo (Lightning)</w:t>
            </w:r>
          </w:p>
        </w:tc>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Unlimited</w:t>
            </w:r>
          </w:p>
        </w:tc>
        <w:tc>
          <w:tcPr>
            <w:tcW w:type="dxa" w:w="234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 cross-domain benchmarks, custom thresholds, priority support</w:t>
            </w:r>
          </w:p>
        </w:tc>
      </w:tr>
    </w:tbl>
    <w:p>
      <w:pPr>
        <w:spacing w:after="200"/>
      </w:pPr>
    </w:p>
    <w:p>
      <w:pPr>
        <w:spacing w:after="160"/>
      </w:pPr>
      <w:r>
        <w:rPr>
          <w:rFonts w:ascii="Arial" w:cs="Arial" w:eastAsia="Arial" w:hAnsi="Arial"/>
          <w:color w:val="1E293B"/>
          <w:sz w:val="22"/>
          <w:szCs w:val="22"/>
        </w:rPr>
        <w:t xml:space="preserve">All pricing is denominated and collected in Bitcoin via Lightning Network. Fiat on-ramp available for merchants who prefer to pay in USD (processed through third-party BTC purchase at time of invoice). At 200 merchants on the Professional tier, Canary generates approximately 0.2 BTC per month in recurring revenue.</w:t>
      </w:r>
    </w:p>
    <w:p>
      <w:pPr>
        <w:pStyle w:val="Heading2"/>
        <w:spacing w:before="280" w:after="160"/>
      </w:pPr>
      <w:r>
        <w:rPr>
          <w:rFonts w:ascii="Arial" w:cs="Arial" w:eastAsia="Arial" w:hAnsi="Arial"/>
          <w:b/>
          <w:bCs/>
          <w:color w:val="D97706"/>
          <w:sz w:val="28"/>
          <w:szCs w:val="28"/>
        </w:rPr>
        <w:t xml:space="preserve">6.1 Unit Economics</w:t>
      </w:r>
    </w:p>
    <w:p>
      <w:pPr>
        <w:pStyle w:val="ListParagraph"/>
        <w:numPr>
          <w:ilvl w:val="0"/>
          <w:numId w:val="2"/>
        </w:numPr>
        <w:spacing w:after="100"/>
      </w:pPr>
      <w:r>
        <w:rPr>
          <w:rFonts w:ascii="Arial" w:cs="Arial" w:eastAsia="Arial" w:hAnsi="Arial"/>
          <w:b/>
          <w:bCs/>
          <w:color w:val="1E293B"/>
          <w:sz w:val="22"/>
          <w:szCs w:val="22"/>
        </w:rPr>
        <w:t xml:space="preserve">Infrastructure cost per tenant: </w:t>
      </w:r>
      <w:r>
        <w:rPr>
          <w:rFonts w:ascii="Arial" w:cs="Arial" w:eastAsia="Arial" w:hAnsi="Arial"/>
          <w:color w:val="1E293B"/>
          <w:sz w:val="22"/>
          <w:szCs w:val="22"/>
        </w:rPr>
        <w:t xml:space="preserve">~$8/month (managed PostgreSQL allocation, compute, bandwidth).</w:t>
      </w:r>
    </w:p>
    <w:p>
      <w:pPr>
        <w:pStyle w:val="ListParagraph"/>
        <w:numPr>
          <w:ilvl w:val="0"/>
          <w:numId w:val="2"/>
        </w:numPr>
        <w:spacing w:after="100"/>
      </w:pPr>
      <w:r>
        <w:rPr>
          <w:rFonts w:ascii="Arial" w:cs="Arial" w:eastAsia="Arial" w:hAnsi="Arial"/>
          <w:b/>
          <w:bCs/>
          <w:color w:val="1E293B"/>
          <w:sz w:val="22"/>
          <w:szCs w:val="22"/>
        </w:rPr>
        <w:t xml:space="preserve">Gross margin: </w:t>
      </w:r>
      <w:r>
        <w:rPr>
          <w:rFonts w:ascii="Arial" w:cs="Arial" w:eastAsia="Arial" w:hAnsi="Arial"/>
          <w:color w:val="1E293B"/>
          <w:sz w:val="22"/>
          <w:szCs w:val="22"/>
        </w:rPr>
        <w:t xml:space="preserve">~88% at Professional tier ($99 revenue, ~$12 fully loaded cost per tenant).</w:t>
      </w:r>
    </w:p>
    <w:p>
      <w:pPr>
        <w:pStyle w:val="ListParagraph"/>
        <w:numPr>
          <w:ilvl w:val="0"/>
          <w:numId w:val="2"/>
        </w:numPr>
        <w:spacing w:after="100"/>
      </w:pPr>
      <w:r>
        <w:rPr>
          <w:rFonts w:ascii="Arial" w:cs="Arial" w:eastAsia="Arial" w:hAnsi="Arial"/>
          <w:b/>
          <w:bCs/>
          <w:color w:val="1E293B"/>
          <w:sz w:val="22"/>
          <w:szCs w:val="22"/>
        </w:rPr>
        <w:t xml:space="preserve">LTV target: </w:t>
      </w:r>
      <w:r>
        <w:rPr>
          <w:rFonts w:ascii="Arial" w:cs="Arial" w:eastAsia="Arial" w:hAnsi="Arial"/>
          <w:color w:val="1E293B"/>
          <w:sz w:val="22"/>
          <w:szCs w:val="22"/>
        </w:rPr>
        <w:t xml:space="preserve">24-month average retention = ~$2,376 LTV per Professional merchant.</w:t>
      </w:r>
    </w:p>
    <w:p>
      <w:pPr>
        <w:pStyle w:val="ListParagraph"/>
        <w:numPr>
          <w:ilvl w:val="0"/>
          <w:numId w:val="2"/>
        </w:numPr>
        <w:spacing w:after="100"/>
      </w:pPr>
      <w:r>
        <w:rPr>
          <w:rFonts w:ascii="Arial" w:cs="Arial" w:eastAsia="Arial" w:hAnsi="Arial"/>
          <w:b/>
          <w:bCs/>
          <w:color w:val="1E293B"/>
          <w:sz w:val="22"/>
          <w:szCs w:val="22"/>
        </w:rPr>
        <w:t xml:space="preserve">CAC target: </w:t>
      </w:r>
      <w:r>
        <w:rPr>
          <w:rFonts w:ascii="Arial" w:cs="Arial" w:eastAsia="Arial" w:hAnsi="Arial"/>
          <w:color w:val="1E293B"/>
          <w:sz w:val="22"/>
          <w:szCs w:val="22"/>
        </w:rPr>
        <w:t xml:space="preserve">Under $200 per merchant via Square App Marketplace organic discovery, content marketing, and referral incentives.</w:t>
      </w:r>
    </w:p>
    <w:p>
      <w:r>
        <w:br w:type="page"/>
      </w:r>
    </w:p>
    <w:p>
      <w:pPr>
        <w:pStyle w:val="Heading1"/>
        <w:spacing w:before="360" w:after="200"/>
      </w:pPr>
      <w:r>
        <w:rPr>
          <w:rFonts w:ascii="Arial" w:cs="Arial" w:eastAsia="Arial" w:hAnsi="Arial"/>
          <w:b/>
          <w:bCs/>
          <w:color w:val="0F1923"/>
          <w:sz w:val="36"/>
          <w:szCs w:val="36"/>
        </w:rPr>
        <w:t xml:space="preserve">9. Why I Am the One to Build This</w:t>
      </w:r>
    </w:p>
    <w:p>
      <w:pPr>
        <w:spacing w:after="160"/>
      </w:pPr>
      <w:r>
        <w:rPr>
          <w:rFonts w:ascii="Arial" w:cs="Arial" w:eastAsia="Arial" w:hAnsi="Arial"/>
          <w:color w:val="1E293B"/>
          <w:sz w:val="22"/>
          <w:szCs w:val="22"/>
        </w:rPr>
        <w:t xml:space="preserve">I have spent 25+ years building exactly this category of software. I co-founded Sysrepublic, where we built the loss prevention analytics platform that scaled to $175M ARR serving 75+ Fortune 500 retailers. That platform was acquired by Verisk Analytics (through Appriss Retail) and remains one of the dominant enterprise LP solutions in the market today.</w:t>
      </w:r>
    </w:p>
    <w:p>
      <w:pPr>
        <w:spacing w:after="160"/>
      </w:pPr>
      <w:r>
        <w:rPr>
          <w:rFonts w:ascii="Arial" w:cs="Arial" w:eastAsia="Arial" w:hAnsi="Arial"/>
          <w:color w:val="1E293B"/>
          <w:sz w:val="22"/>
          <w:szCs w:val="22"/>
        </w:rPr>
        <w:t xml:space="preserve">I know this domain from the inside. I designed exception-based reporting engines, built metric computation pipelines over raw transaction data, and deployed Key Activity Profile scoring models for the largest retailers on the planet. I understand the data models, the detection algorithms, the operational workflows, and the buying psychology of loss prevention professionals.</w:t>
      </w:r>
    </w:p>
    <w:p>
      <w:pPr>
        <w:spacing w:after="160"/>
      </w:pPr>
      <w:r>
        <w:rPr>
          <w:rFonts w:ascii="Arial" w:cs="Arial" w:eastAsia="Arial" w:hAnsi="Arial"/>
          <w:color w:val="1E293B"/>
          <w:sz w:val="22"/>
          <w:szCs w:val="22"/>
        </w:rPr>
        <w:t xml:space="preserve">But I also know what those enterprise platforms cannot do:</w:t>
      </w:r>
    </w:p>
    <w:p>
      <w:pPr>
        <w:pStyle w:val="ListParagraph"/>
        <w:numPr>
          <w:ilvl w:val="0"/>
          <w:numId w:val="2"/>
        </w:numPr>
        <w:spacing w:after="100"/>
      </w:pPr>
      <w:r>
        <w:rPr>
          <w:rFonts w:ascii="Arial" w:cs="Arial" w:eastAsia="Arial" w:hAnsi="Arial"/>
          <w:b/>
          <w:bCs/>
          <w:color w:val="1E293B"/>
          <w:sz w:val="22"/>
          <w:szCs w:val="22"/>
        </w:rPr>
        <w:t xml:space="preserve">They cannot serve SMBs: </w:t>
      </w:r>
      <w:r>
        <w:rPr>
          <w:rFonts w:ascii="Arial" w:cs="Arial" w:eastAsia="Arial" w:hAnsi="Arial"/>
          <w:color w:val="1E293B"/>
          <w:sz w:val="22"/>
          <w:szCs w:val="22"/>
        </w:rPr>
        <w:t xml:space="preserve">The deployment model (on-premise data warehouses, dedicated analyst teams, 6-month implementations, $500K+ annual contracts) is structurally incompatible with small business economics.</w:t>
      </w:r>
    </w:p>
    <w:p>
      <w:pPr>
        <w:pStyle w:val="ListParagraph"/>
        <w:numPr>
          <w:ilvl w:val="0"/>
          <w:numId w:val="2"/>
        </w:numPr>
        <w:spacing w:after="100"/>
      </w:pPr>
      <w:r>
        <w:rPr>
          <w:rFonts w:ascii="Arial" w:cs="Arial" w:eastAsia="Arial" w:hAnsi="Arial"/>
          <w:b/>
          <w:bCs/>
          <w:color w:val="1E293B"/>
          <w:sz w:val="22"/>
          <w:szCs w:val="22"/>
        </w:rPr>
        <w:t xml:space="preserve">They cannot connect to modern POS APIs: </w:t>
      </w:r>
      <w:r>
        <w:rPr>
          <w:rFonts w:ascii="Arial" w:cs="Arial" w:eastAsia="Arial" w:hAnsi="Arial"/>
          <w:color w:val="1E293B"/>
          <w:sz w:val="22"/>
          <w:szCs w:val="22"/>
        </w:rPr>
        <w:t xml:space="preserve">Enterprise LP platforms were built around direct tlog data feeds from legacy POS systems. They were never architected for the API-first, cloud-native POS ecosystems (Square, Shopify, Clover) that now power the SMB retail economy.</w:t>
      </w:r>
    </w:p>
    <w:p>
      <w:pPr>
        <w:pStyle w:val="ListParagraph"/>
        <w:numPr>
          <w:ilvl w:val="0"/>
          <w:numId w:val="2"/>
        </w:numPr>
        <w:spacing w:after="100"/>
      </w:pPr>
      <w:r>
        <w:rPr>
          <w:rFonts w:ascii="Arial" w:cs="Arial" w:eastAsia="Arial" w:hAnsi="Arial"/>
          <w:b/>
          <w:bCs/>
          <w:color w:val="1E293B"/>
          <w:sz w:val="22"/>
          <w:szCs w:val="22"/>
        </w:rPr>
        <w:t xml:space="preserve">They were conceived but never built for this market: </w:t>
      </w:r>
      <w:r>
        <w:rPr>
          <w:rFonts w:ascii="Arial" w:cs="Arial" w:eastAsia="Arial" w:hAnsi="Arial"/>
          <w:color w:val="1E293B"/>
          <w:sz w:val="22"/>
          <w:szCs w:val="22"/>
        </w:rPr>
        <w:t xml:space="preserve">The vision of bringing enterprise LP analytics to small retailers has existed for over a decade. The technology infrastructure to deliver it — modern POS APIs, cloud-native databases, Bitcoin payment rails — has only recently matured to the point where the unit economics work.</w:t>
      </w:r>
    </w:p>
    <w:p>
      <w:pPr>
        <w:spacing w:after="160"/>
      </w:pPr>
      <w:r>
        <w:rPr>
          <w:rFonts w:ascii="Arial" w:cs="Arial" w:eastAsia="Arial" w:hAnsi="Arial"/>
          <w:color w:val="1E293B"/>
          <w:sz w:val="22"/>
          <w:szCs w:val="22"/>
        </w:rPr>
        <w:t xml:space="preserve">Canary is the product I have been building toward for my entire career. The difference is that now, for the first time, the infrastructure exists to deliver enterprise-grade loss prevention analytics to every retailer in America — not just the Fortune 500.</w:t>
      </w:r>
    </w:p>
    <w:p>
      <w:r>
        <w:br w:type="page"/>
      </w:r>
    </w:p>
    <w:p>
      <w:pPr>
        <w:pStyle w:val="Heading1"/>
        <w:spacing w:before="360" w:after="200"/>
      </w:pPr>
      <w:r>
        <w:rPr>
          <w:rFonts w:ascii="Arial" w:cs="Arial" w:eastAsia="Arial" w:hAnsi="Arial"/>
          <w:b/>
          <w:bCs/>
          <w:color w:val="0F1923"/>
          <w:sz w:val="36"/>
          <w:szCs w:val="36"/>
        </w:rPr>
        <w:t xml:space="preserve">10.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8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680"/>
            <w:tcBorders>
              <w:top w:val="single" w:color="E2E8F0" w:sz="1"/>
              <w:left w:val="single" w:color="E2E8F0" w:sz="1"/>
              <w:bottom w:val="single" w:color="E2E8F0" w:sz="1"/>
              <w:right w:val="single" w:color="E2E8F0" w:sz="1"/>
            </w:tcBorders>
            <w:shd w:fill="1A2736" w:val="clear"/>
            <w:tcMar>
              <w:top w:type="dxa" w:w="80"/>
              <w:left w:type="dxa" w:w="120"/>
              <w:bottom w:type="dxa" w:w="80"/>
              <w:right w:type="dxa" w:w="120"/>
            </w:tcMar>
          </w:tcPr>
          <w:p>
            <w:r>
              <w:rPr>
                <w:rFonts w:ascii="Arial" w:cs="Arial" w:eastAsia="Arial" w:hAnsi="Arial"/>
                <w:b/>
                <w:bCs/>
                <w:color w:val="FFFFFF"/>
                <w:sz w:val="20"/>
                <w:szCs w:val="20"/>
              </w:rPr>
              <w:t xml:space="preserve">Milestones</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Formation</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Q1 2026</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Wyoming DAO LLC filing, operating agreement, IP assignment, Square developer account</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Alpha</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Q2 2026</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Core metric engine, Square webhook ingestion, PostgreSQL ODS, basic dashboard with KAP scoring</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Beta</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Q3 2026</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BTCPay Server + Lightning billing, 20 beta merchants, cross-domain benchmarks, alert system</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Launch</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Q4 2026</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Square App Marketplace listing, 200 merchant target, Shopify integration begins</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Scale</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2027</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1E293B"/>
                <w:sz w:val="20"/>
                <w:szCs w:val="20"/>
              </w:rPr>
              <w:t xml:space="preserve">Clover integration, inventory metrics (V2), 1,000 merchant target, SOC 2 certification</w:t>
            </w:r>
          </w:p>
        </w:tc>
      </w:tr>
    </w:tbl>
    <w:p>
      <w:r>
        <w:br w:type="page"/>
      </w:r>
    </w:p>
    <w:p>
      <w:pPr>
        <w:pStyle w:val="Heading1"/>
        <w:spacing w:before="360" w:after="200"/>
      </w:pPr>
      <w:r>
        <w:rPr>
          <w:rFonts w:ascii="Arial" w:cs="Arial" w:eastAsia="Arial" w:hAnsi="Arial"/>
          <w:b/>
          <w:bCs/>
          <w:color w:val="0F1923"/>
          <w:sz w:val="36"/>
          <w:szCs w:val="36"/>
        </w:rPr>
        <w:t xml:space="preserve">11. The Canary in the Coal Mine</w:t>
      </w:r>
    </w:p>
    <w:p>
      <w:pPr>
        <w:spacing w:after="160"/>
      </w:pPr>
      <w:r>
        <w:rPr>
          <w:rFonts w:ascii="Arial" w:cs="Arial" w:eastAsia="Arial" w:hAnsi="Arial"/>
          <w:color w:val="1E293B"/>
          <w:sz w:val="22"/>
          <w:szCs w:val="22"/>
        </w:rPr>
        <w:t xml:space="preserve">For over a century, miners carried canaries underground as an early warning system. If the air turned toxic, the canary would signal danger before it was too late. The metaphor is apt for retail loss prevention: by the time shrinkage shows up on a balance sheet, the damage is already done. The refunds have been processed, the voids have been rung, the cash is gone.</w:t>
      </w:r>
    </w:p>
    <w:p>
      <w:pPr>
        <w:spacing w:after="160"/>
      </w:pPr>
      <w:r>
        <w:rPr>
          <w:rFonts w:ascii="Arial" w:cs="Arial" w:eastAsia="Arial" w:hAnsi="Arial"/>
          <w:color w:val="1E293B"/>
          <w:sz w:val="22"/>
          <w:szCs w:val="22"/>
        </w:rPr>
        <w:t xml:space="preserve">Canary exists to give small retailers the same early warning system that Fortune 500 companies have relied on for decades — delivered through the POS systems they already use, analyzed by algorithms that never sleep, and billed over a payment network that no bank can shut down.</w:t>
      </w:r>
    </w:p>
    <w:p>
      <w:pPr>
        <w:spacing w:after="160"/>
      </w:pPr>
      <w:r>
        <w:rPr>
          <w:rFonts w:ascii="Arial" w:cs="Arial" w:eastAsia="Arial" w:hAnsi="Arial"/>
          <w:color w:val="1E293B"/>
          <w:sz w:val="22"/>
          <w:szCs w:val="22"/>
        </w:rPr>
        <w:t xml:space="preserve">The $112 billion shrinkage problem is not going away. The question is whether the 33 million small businesses bearing the brunt of it will continue to fly blind, or whether they will finally get access to the tools that can protect them.</w:t>
      </w:r>
    </w:p>
    <w:p>
      <w:pPr>
        <w:spacing w:before="200" w:after="200"/>
        <w:ind w:left="360" w:right="360"/>
      </w:pPr>
      <w:r>
        <w:rPr>
          <w:rFonts w:ascii="Arial" w:cs="Arial" w:eastAsia="Arial" w:hAnsi="Arial"/>
          <w:b/>
          <w:bCs/>
          <w:i/>
          <w:iCs/>
          <w:color w:val="D97706"/>
          <w:sz w:val="24"/>
          <w:szCs w:val="24"/>
        </w:rPr>
        <w:t xml:space="preserve">Canary is that tool. The early warning system for retail shrink.</w:t>
      </w:r>
    </w:p>
    <w:p>
      <w:r>
        <w:br w:type="page"/>
      </w:r>
    </w:p>
    <w:p>
      <w:pPr>
        <w:spacing w:before="400" w:after="200"/>
      </w:pPr>
      <w:r>
        <w:rPr>
          <w:rFonts w:ascii="Arial" w:cs="Arial" w:eastAsia="Arial" w:hAnsi="Arial"/>
          <w:b/>
          <w:bCs/>
          <w:color w:val="0F1923"/>
          <w:sz w:val="36"/>
          <w:szCs w:val="36"/>
        </w:rPr>
        <w:t xml:space="preserve">Appendix A: Development Progress — February 15, 2026</w:t>
      </w:r>
    </w:p>
    <w:p>
      <w:pPr>
        <w:spacing w:after="200"/>
      </w:pPr>
      <w:r>
        <w:rPr>
          <w:rFonts w:ascii="Arial" w:cs="Arial" w:eastAsia="Arial" w:hAnsi="Arial"/>
          <w:color w:val="334155"/>
          <w:sz w:val="22"/>
          <w:szCs w:val="22"/>
        </w:rPr>
        <w:t xml:space="preserve">This appendix documents the substantial progress made on the Canary MVP during the February 14–15, 2026 development sprint. What follows is a record of what was built, established, and validated — moving the project from concept to working software in a single intensive session.</w:t>
      </w:r>
    </w:p>
    <w:p>
      <w:pPr>
        <w:spacing w:before="300" w:after="120"/>
      </w:pPr>
      <w:r>
        <w:rPr>
          <w:rFonts w:ascii="Arial" w:cs="Arial" w:eastAsia="Arial" w:hAnsi="Arial"/>
          <w:b/>
          <w:bCs/>
          <w:color w:val="0F1923"/>
          <w:sz w:val="28"/>
          <w:szCs w:val="28"/>
        </w:rPr>
        <w:t xml:space="preserve">A.1 Working MVP Application</w:t>
      </w:r>
    </w:p>
    <w:p>
      <w:pPr>
        <w:spacing w:after="160"/>
      </w:pPr>
      <w:r>
        <w:rPr>
          <w:rFonts w:ascii="Arial" w:cs="Arial" w:eastAsia="Arial" w:hAnsi="Arial"/>
          <w:color w:val="334155"/>
          <w:sz w:val="22"/>
          <w:szCs w:val="22"/>
        </w:rPr>
        <w:t xml:space="preserve">The Canary MVP is now a functioning Flask application with the following operational components:</w:t>
      </w:r>
    </w:p>
    <w:p>
      <w:pPr>
        <w:numPr>
          <w:ilvl w:val="0"/>
          <w:numId w:val="1"/>
        </w:numPr>
        <w:spacing w:after="80"/>
      </w:pPr>
      <w:r>
        <w:rPr>
          <w:rFonts w:ascii="Arial" w:cs="Arial" w:eastAsia="Arial" w:hAnsi="Arial"/>
          <w:b/>
          <w:bCs/>
          <w:color w:val="334155"/>
          <w:sz w:val="22"/>
          <w:szCs w:val="22"/>
        </w:rPr>
        <w:t xml:space="preserve">Square OAuth Integration: </w:t>
      </w:r>
      <w:r>
        <w:rPr>
          <w:rFonts w:ascii="Arial" w:cs="Arial" w:eastAsia="Arial" w:hAnsi="Arial"/>
          <w:color w:val="334155"/>
          <w:sz w:val="22"/>
          <w:szCs w:val="22"/>
        </w:rPr>
        <w:t xml:space="preserve">Full OAuth 2.0 flow for merchant authorization with read-only scopes (MERCHANT_PROFILE_READ, PAYMENTS_READ, ORDERS_READ). Working in Square Sandbox environment.</w:t>
      </w:r>
    </w:p>
    <w:p>
      <w:pPr>
        <w:numPr>
          <w:ilvl w:val="0"/>
          <w:numId w:val="1"/>
        </w:numPr>
        <w:spacing w:after="80"/>
      </w:pPr>
      <w:r>
        <w:rPr>
          <w:rFonts w:ascii="Arial" w:cs="Arial" w:eastAsia="Arial" w:hAnsi="Arial"/>
          <w:b/>
          <w:bCs/>
          <w:color w:val="334155"/>
          <w:sz w:val="22"/>
          <w:szCs w:val="22"/>
        </w:rPr>
        <w:t xml:space="preserve">Chirp Detection Engine:</w:t>
      </w:r>
      <w:r>
        <w:rPr>
          <w:rFonts w:ascii="Arial" w:cs="Arial" w:eastAsia="Arial" w:hAnsi="Arial"/>
          <w:color w:val="334155"/>
          <w:sz w:val="22"/>
          <w:szCs w:val="22"/>
        </w:rPr>
        <w:t xml:space="preserve">Rules-based detection engine covering four alert types: high refund frequency, large refund amounts, after-hours activity, and rapid refund sequences. Severity scoring (LOW through CRITICAL) operational.</w:t>
      </w:r>
    </w:p>
    <w:p>
      <w:pPr>
        <w:numPr>
          <w:ilvl w:val="0"/>
          <w:numId w:val="1"/>
        </w:numPr>
        <w:spacing w:after="80"/>
      </w:pPr>
      <w:r>
        <w:rPr>
          <w:rFonts w:ascii="Arial" w:cs="Arial" w:eastAsia="Arial" w:hAnsi="Arial"/>
          <w:b/>
          <w:bCs/>
          <w:color w:val="334155"/>
          <w:sz w:val="22"/>
          <w:szCs w:val="22"/>
        </w:rPr>
        <w:t xml:space="preserve">Natural Language Query Interface: </w:t>
      </w:r>
      <w:r>
        <w:rPr>
          <w:rFonts w:ascii="Arial" w:cs="Arial" w:eastAsia="Arial" w:hAnsi="Arial"/>
          <w:color w:val="334155"/>
          <w:sz w:val="22"/>
          <w:szCs w:val="22"/>
        </w:rPr>
        <w:t xml:space="preserve">AI-powered natural language to SQL translation engine allowing merchants to query their transaction data in plain English.</w:t>
      </w:r>
    </w:p>
    <w:p>
      <w:pPr>
        <w:numPr>
          <w:ilvl w:val="0"/>
          <w:numId w:val="1"/>
        </w:numPr>
        <w:spacing w:after="80"/>
      </w:pPr>
      <w:r>
        <w:rPr>
          <w:rFonts w:ascii="Arial" w:cs="Arial" w:eastAsia="Arial" w:hAnsi="Arial"/>
          <w:b/>
          <w:bCs/>
          <w:color w:val="334155"/>
          <w:sz w:val="22"/>
          <w:szCs w:val="22"/>
        </w:rPr>
        <w:t xml:space="preserve">Real-Time Dashboard: </w:t>
      </w:r>
      <w:r>
        <w:rPr>
          <w:rFonts w:ascii="Arial" w:cs="Arial" w:eastAsia="Arial" w:hAnsi="Arial"/>
          <w:color w:val="334155"/>
          <w:sz w:val="22"/>
          <w:szCs w:val="22"/>
        </w:rPr>
        <w:t xml:space="preserve">Dark-themed web dashboard with live transaction feed (Server-Sent Events), Chart.js visualizations (refund trends, employee breakdown, hourly activity with after-hours highlighting), alert management, and receipt detail views.</w:t>
      </w:r>
    </w:p>
    <w:p>
      <w:pPr>
        <w:numPr>
          <w:ilvl w:val="0"/>
          <w:numId w:val="1"/>
        </w:numPr>
        <w:spacing w:after="80"/>
      </w:pPr>
      <w:r>
        <w:rPr>
          <w:rFonts w:ascii="Arial" w:cs="Arial" w:eastAsia="Arial" w:hAnsi="Arial"/>
          <w:b/>
          <w:bCs/>
          <w:color w:val="334155"/>
          <w:sz w:val="22"/>
          <w:szCs w:val="22"/>
        </w:rPr>
        <w:t xml:space="preserve">Database Layer: </w:t>
      </w:r>
      <w:r>
        <w:rPr>
          <w:rFonts w:ascii="Arial" w:cs="Arial" w:eastAsia="Arial" w:hAnsi="Arial"/>
          <w:color w:val="334155"/>
          <w:sz w:val="22"/>
          <w:szCs w:val="22"/>
        </w:rPr>
        <w:t xml:space="preserve">SQLite database with normalized schemas for merchants, transactions, and alerts. Schema supports migration path to PostgreSQL for production.</w:t>
      </w:r>
    </w:p>
    <w:p>
      <w:pPr>
        <w:spacing w:before="300" w:after="120"/>
      </w:pPr>
      <w:r>
        <w:rPr>
          <w:rFonts w:ascii="Arial" w:cs="Arial" w:eastAsia="Arial" w:hAnsi="Arial"/>
          <w:b/>
          <w:bCs/>
          <w:color w:val="0F1923"/>
          <w:sz w:val="28"/>
          <w:szCs w:val="28"/>
        </w:rPr>
        <w:t xml:space="preserve">A.2 Brand Identity Established</w:t>
      </w:r>
    </w:p>
    <w:p>
      <w:pPr>
        <w:spacing w:after="160"/>
      </w:pPr>
      <w:r>
        <w:rPr>
          <w:rFonts w:ascii="Arial" w:cs="Arial" w:eastAsia="Arial" w:hAnsi="Arial"/>
          <w:color w:val="334155"/>
          <w:sz w:val="22"/>
          <w:szCs w:val="22"/>
        </w:rPr>
        <w:t xml:space="preserve">A comprehensive brand identity system was designed and documented, including:</w:t>
      </w:r>
    </w:p>
    <w:p>
      <w:pPr>
        <w:numPr>
          <w:ilvl w:val="0"/>
          <w:numId w:val="1"/>
        </w:numPr>
        <w:spacing w:after="80"/>
      </w:pPr>
      <w:r>
        <w:rPr>
          <w:rFonts w:ascii="Arial" w:cs="Arial" w:eastAsia="Arial" w:hAnsi="Arial"/>
          <w:b/>
          <w:bCs/>
          <w:color w:val="334155"/>
          <w:sz w:val="22"/>
          <w:szCs w:val="22"/>
        </w:rPr>
        <w:t xml:space="preserve">Brand Style Guide v3.0: </w:t>
      </w:r>
      <w:r>
        <w:rPr>
          <w:rFonts w:ascii="Arial" w:cs="Arial" w:eastAsia="Arial" w:hAnsi="Arial"/>
          <w:color w:val="334155"/>
          <w:sz w:val="22"/>
          <w:szCs w:val="22"/>
        </w:rPr>
        <w:t xml:space="preserve">Complete color system (signal-yellow, health-green, ink, charcoal), typography standards (Inter + Space Grotesk), logo treatments for dark and light backgrounds, and UI component patterns.</w:t>
      </w:r>
    </w:p>
    <w:p>
      <w:pPr>
        <w:numPr>
          <w:ilvl w:val="0"/>
          <w:numId w:val="1"/>
        </w:numPr>
        <w:spacing w:after="80"/>
      </w:pPr>
      <w:r>
        <w:rPr>
          <w:rFonts w:ascii="Arial" w:cs="Arial" w:eastAsia="Arial" w:hAnsi="Arial"/>
          <w:b/>
          <w:bCs/>
          <w:color w:val="334155"/>
          <w:sz w:val="22"/>
          <w:szCs w:val="22"/>
        </w:rPr>
        <w:t xml:space="preserve">Animated Canary Mascot: </w:t>
      </w:r>
      <w:r>
        <w:rPr>
          <w:rFonts w:ascii="Arial" w:cs="Arial" w:eastAsia="Arial" w:hAnsi="Arial"/>
          <w:color w:val="334155"/>
          <w:sz w:val="22"/>
          <w:szCs w:val="22"/>
        </w:rPr>
        <w:t xml:space="preserve">SVG canary bird with chirping animation and health-gradient waves (green to yellow to red) that maps directly to the product’s loss prevention alerting purpose.</w:t>
      </w:r>
    </w:p>
    <w:p>
      <w:pPr>
        <w:numPr>
          <w:ilvl w:val="0"/>
          <w:numId w:val="1"/>
        </w:numPr>
        <w:spacing w:after="80"/>
      </w:pPr>
      <w:r>
        <w:rPr>
          <w:rFonts w:ascii="Arial" w:cs="Arial" w:eastAsia="Arial" w:hAnsi="Arial"/>
          <w:b/>
          <w:bCs/>
          <w:color w:val="334155"/>
          <w:sz w:val="22"/>
          <w:szCs w:val="22"/>
        </w:rPr>
        <w:t xml:space="preserve">Document and Presentation Templates: </w:t>
      </w:r>
      <w:r>
        <w:rPr>
          <w:rFonts w:ascii="Arial" w:cs="Arial" w:eastAsia="Arial" w:hAnsi="Arial"/>
          <w:color w:val="334155"/>
          <w:sz w:val="22"/>
          <w:szCs w:val="22"/>
        </w:rPr>
        <w:t xml:space="preserve">Brand-compliant Word (.docx) and PowerPoint (.pptx) templates for all formal project deliverables.</w:t>
      </w:r>
    </w:p>
    <w:p>
      <w:pPr>
        <w:spacing w:before="300" w:after="120"/>
      </w:pPr>
      <w:r>
        <w:rPr>
          <w:rFonts w:ascii="Arial" w:cs="Arial" w:eastAsia="Arial" w:hAnsi="Arial"/>
          <w:b/>
          <w:bCs/>
          <w:color w:val="0F1923"/>
          <w:sz w:val="28"/>
          <w:szCs w:val="28"/>
        </w:rPr>
        <w:t xml:space="preserve">A.3 Design Review Completed</w:t>
      </w:r>
    </w:p>
    <w:p>
      <w:pPr>
        <w:spacing w:after="160"/>
      </w:pPr>
      <w:r>
        <w:rPr>
          <w:rFonts w:ascii="Arial" w:cs="Arial" w:eastAsia="Arial" w:hAnsi="Arial"/>
          <w:color w:val="334155"/>
          <w:sz w:val="22"/>
          <w:szCs w:val="22"/>
        </w:rPr>
        <w:t xml:space="preserve">A comprehensive design review was conducted covering visual design, UX, information architecture, accessibility, responsive behavior, performance, code quality, and security. The review scored the MVP at 7/10 and produced a prioritized remediation plan (P0 through P2) that now serves as the UI/UX roadmap through launch. Key findings include the need for a shared base template (now created), CSS strategy consolidation, WCAG AA contrast fixes, and keyboard accessibility improvements.</w:t>
      </w:r>
    </w:p>
    <w:p>
      <w:pPr>
        <w:spacing w:before="300" w:after="120"/>
      </w:pPr>
      <w:r>
        <w:rPr>
          <w:rFonts w:ascii="Arial" w:cs="Arial" w:eastAsia="Arial" w:hAnsi="Arial"/>
          <w:b/>
          <w:bCs/>
          <w:color w:val="0F1923"/>
          <w:sz w:val="28"/>
          <w:szCs w:val="28"/>
        </w:rPr>
        <w:t xml:space="preserve">A.4 Development Process Established</w:t>
      </w:r>
    </w:p>
    <w:p>
      <w:pPr>
        <w:spacing w:after="160"/>
      </w:pPr>
      <w:r>
        <w:rPr>
          <w:rFonts w:ascii="Arial" w:cs="Arial" w:eastAsia="Arial" w:hAnsi="Arial"/>
          <w:color w:val="334155"/>
          <w:sz w:val="22"/>
          <w:szCs w:val="22"/>
        </w:rPr>
        <w:t xml:space="preserve">The project now operates with a defined development workflow:</w:t>
      </w:r>
    </w:p>
    <w:p>
      <w:pPr>
        <w:numPr>
          <w:ilvl w:val="0"/>
          <w:numId w:val="1"/>
        </w:numPr>
        <w:spacing w:after="80"/>
      </w:pPr>
      <w:r>
        <w:rPr>
          <w:rFonts w:ascii="Arial" w:cs="Arial" w:eastAsia="Arial" w:hAnsi="Arial"/>
          <w:b/>
          <w:bCs/>
          <w:color w:val="334155"/>
          <w:sz w:val="22"/>
          <w:szCs w:val="22"/>
        </w:rPr>
        <w:t xml:space="preserve">Git workflow: </w:t>
      </w:r>
      <w:r>
        <w:rPr>
          <w:rFonts w:ascii="Arial" w:cs="Arial" w:eastAsia="Arial" w:hAnsi="Arial"/>
          <w:color w:val="334155"/>
          <w:sz w:val="22"/>
          <w:szCs w:val="22"/>
        </w:rPr>
        <w:t xml:space="preserve">Feature branch model with PR-based merges, commit message standards, and security checklists documented in CONTRIBUTING.md.</w:t>
      </w:r>
    </w:p>
    <w:p>
      <w:pPr>
        <w:numPr>
          <w:ilvl w:val="0"/>
          <w:numId w:val="1"/>
        </w:numPr>
        <w:spacing w:after="80"/>
      </w:pPr>
      <w:r>
        <w:rPr>
          <w:rFonts w:ascii="Arial" w:cs="Arial" w:eastAsia="Arial" w:hAnsi="Arial"/>
          <w:b/>
          <w:bCs/>
          <w:color w:val="334155"/>
          <w:sz w:val="22"/>
          <w:szCs w:val="22"/>
        </w:rPr>
        <w:t xml:space="preserve">Bug tracking: </w:t>
      </w:r>
      <w:r>
        <w:rPr>
          <w:rFonts w:ascii="Arial" w:cs="Arial" w:eastAsia="Arial" w:hAnsi="Arial"/>
          <w:color w:val="334155"/>
          <w:sz w:val="22"/>
          <w:szCs w:val="22"/>
        </w:rPr>
        <w:t xml:space="preserve">Structured bug tracking system (BUGS.md) with severity ratings, reproduction steps, and status tracking.</w:t>
      </w:r>
    </w:p>
    <w:p>
      <w:pPr>
        <w:numPr>
          <w:ilvl w:val="0"/>
          <w:numId w:val="1"/>
        </w:numPr>
        <w:spacing w:after="80"/>
      </w:pPr>
      <w:r>
        <w:rPr>
          <w:rFonts w:ascii="Arial" w:cs="Arial" w:eastAsia="Arial" w:hAnsi="Arial"/>
          <w:b/>
          <w:bCs/>
          <w:color w:val="334155"/>
          <w:sz w:val="22"/>
          <w:szCs w:val="22"/>
        </w:rPr>
        <w:t xml:space="preserve">CI/CD foundation: </w:t>
      </w:r>
      <w:r>
        <w:rPr>
          <w:rFonts w:ascii="Arial" w:cs="Arial" w:eastAsia="Arial" w:hAnsi="Arial"/>
          <w:color w:val="334155"/>
          <w:sz w:val="22"/>
          <w:szCs w:val="22"/>
        </w:rPr>
        <w:t xml:space="preserve">GitHub Actions workflow directory created. Branch protection rules and automated testing are next targets.</w:t>
      </w:r>
    </w:p>
    <w:p>
      <w:pPr>
        <w:spacing w:before="300" w:after="120"/>
      </w:pPr>
      <w:r>
        <w:rPr>
          <w:rFonts w:ascii="Arial" w:cs="Arial" w:eastAsia="Arial" w:hAnsi="Arial"/>
          <w:b/>
          <w:bCs/>
          <w:color w:val="0F1923"/>
          <w:sz w:val="28"/>
          <w:szCs w:val="28"/>
        </w:rPr>
        <w:t xml:space="preserve">A.5 Team and Documentation Framework</w:t>
      </w:r>
    </w:p>
    <w:p>
      <w:pPr>
        <w:spacing w:after="160"/>
      </w:pPr>
      <w:r>
        <w:rPr>
          <w:rFonts w:ascii="Arial" w:cs="Arial" w:eastAsia="Arial" w:hAnsi="Arial"/>
          <w:color w:val="334155"/>
          <w:sz w:val="22"/>
          <w:szCs w:val="22"/>
        </w:rPr>
        <w:t xml:space="preserve">The Canary team now operates with defined agentic profiles for each contributor. Tom (Systems Architect) and Jess (Documentation Lead) have formalized role definitions, behavioral guidelines, and deliverable expectations. A 49-document product documentation library has been outlined across seven categories (product, technical architecture, functional/business, compliance, process, brand, and strategic) with clear priority assignments from P0 (Alpha launch) through P3 (Scale phase). Nine documents already exist, seven are partially complete, and the remaining items are tracked with owners and target dates.</w:t>
      </w:r>
    </w:p>
    <w:p>
      <w:pPr>
        <w:spacing w:before="300" w:after="120"/>
      </w:pPr>
      <w:r>
        <w:rPr>
          <w:rFonts w:ascii="Arial" w:cs="Arial" w:eastAsia="Arial" w:hAnsi="Arial"/>
          <w:b/>
          <w:bCs/>
          <w:color w:val="0F1923"/>
          <w:sz w:val="28"/>
          <w:szCs w:val="28"/>
        </w:rPr>
        <w:t xml:space="preserve">A.6 Formation Phase Status</w:t>
      </w:r>
    </w:p>
    <w:p>
      <w:pPr>
        <w:spacing w:after="160"/>
      </w:pPr>
      <w:r>
        <w:rPr>
          <w:rFonts w:ascii="Arial" w:cs="Arial" w:eastAsia="Arial" w:hAnsi="Arial"/>
          <w:color w:val="334155"/>
          <w:sz w:val="22"/>
          <w:szCs w:val="22"/>
        </w:rPr>
        <w:t xml:space="preserve">The project is ahead of the roadmap timeline outlined in Section 10. The Formation phase (Q1 2026) targeted Wyoming DAO LLC filing, operating agreement, IP assignment, and Square developer account setup. As of mid-February 2026, the team has already delivered a working MVP application with functional Square integration, a complete brand identity system, a comprehensive design review, and a structured development process — effectively completing several Alpha phase (Q2 2026) milestones early. The core metric engine, Square data ingestion, SQLite database, and dashboard with basic alerting are all operational. The project is well-positioned to enter formal Alpha testing with real merchant data by Q2 2026 as planned.</w:t>
      </w:r>
    </w:p>
    <w:p>
      <w:r>
        <w:br w:type="page"/>
      </w:r>
    </w:p>
    <w:p>
      <w:pPr>
        <w:spacing w:before="400" w:after="200"/>
      </w:pPr>
      <w:r>
        <w:rPr>
          <w:rFonts w:ascii="Arial" w:cs="Arial" w:eastAsia="Arial" w:hAnsi="Arial"/>
          <w:b/>
          <w:bCs/>
          <w:color w:val="0F1923"/>
          <w:sz w:val="36"/>
          <w:szCs w:val="36"/>
        </w:rPr>
        <w:t xml:space="preserve">Appendix B: Team Review — Tom &amp; The PhD</w:t>
      </w:r>
    </w:p>
    <w:p>
      <w:pPr>
        <w:spacing w:after="200"/>
      </w:pPr>
      <w:r>
        <w:rPr>
          <w:rFonts w:ascii="Arial" w:cs="Arial" w:eastAsia="Arial" w:hAnsi="Arial"/>
          <w:color w:val="334155"/>
          <w:sz w:val="22"/>
          <w:szCs w:val="22"/>
        </w:rPr>
        <w:t xml:space="preserve">This appendix captures a structured review of the white paper and current project state from the perspectives of two core Canary team members: Tom (Retail Enterprise Systems Architect) and the PhD (Bitcoin-Native Retail Loss Prevention Specialist). Their observations are organized around shared themes, with each contributor’s lens applied to the same material.</w:t>
      </w:r>
    </w:p>
    <w:p>
      <w:pPr>
        <w:spacing w:before="300" w:after="120"/>
      </w:pPr>
      <w:r>
        <w:rPr>
          <w:rFonts w:ascii="Arial" w:cs="Arial" w:eastAsia="Arial" w:hAnsi="Arial"/>
          <w:b/>
          <w:bCs/>
          <w:color w:val="0F1923"/>
          <w:sz w:val="28"/>
          <w:szCs w:val="28"/>
        </w:rPr>
        <w:t xml:space="preserve">B.1 Architecture Reality Check</w:t>
      </w:r>
    </w:p>
    <w:p>
      <w:pPr>
        <w:spacing w:after="120"/>
      </w:pPr>
      <w:r>
        <w:rPr>
          <w:rFonts w:ascii="Arial" w:cs="Arial" w:eastAsia="Arial" w:hAnsi="Arial"/>
          <w:b/>
          <w:bCs/>
          <w:color w:val="D97706"/>
          <w:sz w:val="22"/>
          <w:szCs w:val="22"/>
        </w:rPr>
        <w:t xml:space="preserve">Tom’s View: </w:t>
      </w:r>
      <w:r>
        <w:rPr>
          <w:rFonts w:ascii="Arial" w:cs="Arial" w:eastAsia="Arial" w:hAnsi="Arial"/>
          <w:color w:val="334155"/>
          <w:sz w:val="22"/>
          <w:szCs w:val="22"/>
        </w:rPr>
        <w:t xml:space="preserve">The white paper describes a PostgreSQL ODS and 27+ risk metrics across five detection domains. The MVP that actually exists is a Flask app with SQLite, four refund detection rules, and a single-page dashboard. This is not a gap — it is the correct approach. The Master Spec envisions AVAX subnets, Solidity smart contracts, React Native mobile, and multi-POS integration. The MVP proves the core thesis with the simplest possible stack: Python, SQLite, Square API, and server-rendered HTML. The migration path from SQLite to PostgreSQL is documented and clean. The code is structured so that adding detection domains (voids, discounts, cash, patterns) is additive work, not a rewrite. This is how enterprise systems should be built: prove the core value proposition with minimum complexity, then layer on sophistication only when the customer base demands it. The white paper should be explicit that the “27+ metrics across five domains” is the V2 target, not the current state.</w:t>
      </w:r>
    </w:p>
    <w:p>
      <w:pPr>
        <w:spacing w:after="160"/>
      </w:pPr>
      <w:r>
        <w:rPr>
          <w:rFonts w:ascii="Arial" w:cs="Arial" w:eastAsia="Arial" w:hAnsi="Arial"/>
          <w:b/>
          <w:bCs/>
          <w:color w:val="D97706"/>
          <w:sz w:val="22"/>
          <w:szCs w:val="22"/>
        </w:rPr>
        <w:t xml:space="preserve">PhD’s View: </w:t>
      </w:r>
      <w:r>
        <w:rPr>
          <w:rFonts w:ascii="Arial" w:cs="Arial" w:eastAsia="Arial" w:hAnsi="Arial"/>
          <w:color w:val="334155"/>
          <w:sz w:val="22"/>
          <w:szCs w:val="22"/>
        </w:rPr>
        <w:t xml:space="preserve">The theoretical framework holds. The PhD thesis positions inventory accuracy as analogous to monetary truth — “treat every SKU like a Bitcoin UTXO.” The working MVP validates the first principle: real-time transaction ingestion and automated anomaly detection eliminate the “annual audit” model that Beck and Peacock identified as the fundamental weakness of traditional LP. The Chirp engine, while rules-based in its current form, implements continuous verification — the same architectural pattern as Bitcoin’s block-by-block consensus. Each transaction is evaluated as it occurs, not months later. This is the core intellectual contribution: moving retail from snapshot truth to continuous truth. The path from rules-based detection to Poisson statistical models to ML-based scoring maps directly to the PhD framework’s “layered verification” architecture (Principle #9).</w:t>
      </w:r>
    </w:p>
    <w:p>
      <w:pPr>
        <w:spacing w:before="300" w:after="120"/>
      </w:pPr>
      <w:r>
        <w:rPr>
          <w:rFonts w:ascii="Arial" w:cs="Arial" w:eastAsia="Arial" w:hAnsi="Arial"/>
          <w:b/>
          <w:bCs/>
          <w:color w:val="0F1923"/>
          <w:sz w:val="28"/>
          <w:szCs w:val="28"/>
        </w:rPr>
        <w:t xml:space="preserve">B.2 The Square-First Strategy</w:t>
      </w:r>
    </w:p>
    <w:p>
      <w:pPr>
        <w:spacing w:after="120"/>
      </w:pPr>
      <w:r>
        <w:rPr>
          <w:rFonts w:ascii="Arial" w:cs="Arial" w:eastAsia="Arial" w:hAnsi="Arial"/>
          <w:b/>
          <w:bCs/>
          <w:color w:val="D97706"/>
          <w:sz w:val="22"/>
          <w:szCs w:val="22"/>
        </w:rPr>
        <w:t xml:space="preserve">Tom’s View: </w:t>
      </w:r>
      <w:r>
        <w:rPr>
          <w:rFonts w:ascii="Arial" w:cs="Arial" w:eastAsia="Arial" w:hAnsi="Arial"/>
          <w:color w:val="334155"/>
          <w:sz w:val="22"/>
          <w:szCs w:val="22"/>
        </w:rPr>
        <w:t xml:space="preserve">The decision to launch exclusively on Square is validated by the working OAuth integration. The Square SDK v35 wrapper in square_client.py handles merchant authorization, payment data ingestion with pagination, and error recovery. The POS abstraction layer is clean enough that adding Shopify or Clover later means writing a new client module, not refactoring the core. This is the right pattern from enterprise retail: standardize the internal data model (merchants, transactions, alerts) and treat POS integrations as interchangeable connectors. The white paper’s Section 6 accurately describes this strategy, and the code now proves it works. One recommendation: the white paper should note that the Square SDK version (v35) uses legacy imports that will need updating before the Marketplace listing. This is a known technical debt item, not a risk.</w:t>
      </w:r>
    </w:p>
    <w:p>
      <w:pPr>
        <w:spacing w:after="160"/>
      </w:pPr>
      <w:r>
        <w:rPr>
          <w:rFonts w:ascii="Arial" w:cs="Arial" w:eastAsia="Arial" w:hAnsi="Arial"/>
          <w:b/>
          <w:bCs/>
          <w:color w:val="D97706"/>
          <w:sz w:val="22"/>
          <w:szCs w:val="22"/>
        </w:rPr>
        <w:t xml:space="preserve">PhD’s View: </w:t>
      </w:r>
      <w:r>
        <w:rPr>
          <w:rFonts w:ascii="Arial" w:cs="Arial" w:eastAsia="Arial" w:hAnsi="Arial"/>
          <w:color w:val="334155"/>
          <w:sz w:val="22"/>
          <w:szCs w:val="22"/>
        </w:rPr>
        <w:t xml:space="preserve">Square-first is strategically aligned with the Bitcoin thesis. Block (Square’s parent) is the most Bitcoin-forward enterprise in fintech. Lightning Network integration into Square merchant payments is on Block’s 2026 roadmap. When that launches, Canary’s Lightning-native billing will position it as the first LP platform that operates end-to-end on Bitcoin rails — merchant pays subscription via Lightning on the same Square infrastructure that generates the transaction data Canary analyzes. This circular integration between Block’s payment infrastructure and Canary’s analytics engine is the competitive moat. No enterprise LP vendor (Appriss, Auditoria, Agilence) has any incentive or capability to build on Bitcoin rails. The white paper should strengthen Section 5.4 by explicitly connecting the Square-Lightning convergence to Canary’s unique positioning.</w:t>
      </w:r>
    </w:p>
    <w:p>
      <w:pPr>
        <w:spacing w:before="300" w:after="120"/>
      </w:pPr>
      <w:r>
        <w:rPr>
          <w:rFonts w:ascii="Arial" w:cs="Arial" w:eastAsia="Arial" w:hAnsi="Arial"/>
          <w:b/>
          <w:bCs/>
          <w:color w:val="0F1923"/>
          <w:sz w:val="28"/>
          <w:szCs w:val="28"/>
        </w:rPr>
        <w:t xml:space="preserve">B.3 Detection Engine Maturity Path</w:t>
      </w:r>
    </w:p>
    <w:p>
      <w:pPr>
        <w:spacing w:after="120"/>
      </w:pPr>
      <w:r>
        <w:rPr>
          <w:rFonts w:ascii="Arial" w:cs="Arial" w:eastAsia="Arial" w:hAnsi="Arial"/>
          <w:b/>
          <w:bCs/>
          <w:color w:val="D97706"/>
          <w:sz w:val="22"/>
          <w:szCs w:val="22"/>
        </w:rPr>
        <w:t xml:space="preserve">Tom’s View: </w:t>
      </w:r>
      <w:r>
        <w:rPr>
          <w:rFonts w:ascii="Arial" w:cs="Arial" w:eastAsia="Arial" w:hAnsi="Arial"/>
          <w:color w:val="334155"/>
          <w:sz w:val="22"/>
          <w:szCs w:val="22"/>
        </w:rPr>
        <w:t xml:space="preserve">The Chirp module (chirp.py) implements four detection rules: high frequency, large amount, after-hours, and rapid sequence. The severity scoring scales with count (3–5 = MEDIUM, 5–10 = HIGH, 10+ = CRITICAL). This is exactly how enterprise EBR systems start — simple threshold rules, calibrated against real data, then progressively enriched with statistical models. The master spec describes a five-domain engine (refunds, voids, discounts, cash, employee benchmarking) with 27+ metrics and KAP composite scoring. The MVP proves Domain 1 (refunds) works end-to-end. Domains 2–5 are additive. The data model already captures the fields needed for void and discount detection. The recommended sequence: ship refund detection to beta merchants, collect real-world data, calibrate thresholds, then add domains one at a time. Do not try to ship all five domains simultaneously — each needs its own calibration cycle with real merchant data.</w:t>
      </w:r>
    </w:p>
    <w:p>
      <w:pPr>
        <w:spacing w:after="160"/>
      </w:pPr>
      <w:r>
        <w:rPr>
          <w:rFonts w:ascii="Arial" w:cs="Arial" w:eastAsia="Arial" w:hAnsi="Arial"/>
          <w:b/>
          <w:bCs/>
          <w:color w:val="D97706"/>
          <w:sz w:val="22"/>
          <w:szCs w:val="22"/>
        </w:rPr>
        <w:t xml:space="preserve">PhD’s View: </w:t>
      </w:r>
      <w:r>
        <w:rPr>
          <w:rFonts w:ascii="Arial" w:cs="Arial" w:eastAsia="Arial" w:hAnsi="Arial"/>
          <w:color w:val="334155"/>
          <w:sz w:val="22"/>
          <w:szCs w:val="22"/>
        </w:rPr>
        <w:t xml:space="preserve">The detection engine maturity path maps to the PhD framework’s layered verification model. Current state (rules-based) is Layer 1: Data Collection. The progression to Poisson-based frequency analysis (described in the master spec’s Chirp algorithm) represents Layer 3: Analytical Verification. KAP composite scoring with cross-domain correlation represents Layer 4: Settlement and Truth Finality. The Speights/Downs/Raz framework emphasizes that “billions of daily automated detections” require progressively sophisticated analytical methods. Canary’s four-rule engine processes transactions as they arrive via SSE — this continuous detection model is the correct foundation. The academic literature supports this incremental approach: calibrate simple models against real data before introducing ML complexity. The NL query engine (nl_query_engine.py) is a significant bonus — it enables the kind of ad-hoc data exploration that Speights/Downs/Raz identify as essential for effective LP analytics.</w:t>
      </w:r>
    </w:p>
    <w:p>
      <w:pPr>
        <w:spacing w:before="300" w:after="120"/>
      </w:pPr>
      <w:r>
        <w:rPr>
          <w:rFonts w:ascii="Arial" w:cs="Arial" w:eastAsia="Arial" w:hAnsi="Arial"/>
          <w:b/>
          <w:bCs/>
          <w:color w:val="0F1923"/>
          <w:sz w:val="28"/>
          <w:szCs w:val="28"/>
        </w:rPr>
        <w:t xml:space="preserve">B.4 Brand and Product-Market Readiness</w:t>
      </w:r>
    </w:p>
    <w:p>
      <w:pPr>
        <w:spacing w:after="120"/>
      </w:pPr>
      <w:r>
        <w:rPr>
          <w:rFonts w:ascii="Arial" w:cs="Arial" w:eastAsia="Arial" w:hAnsi="Arial"/>
          <w:b/>
          <w:bCs/>
          <w:color w:val="D97706"/>
          <w:sz w:val="22"/>
          <w:szCs w:val="22"/>
        </w:rPr>
        <w:t xml:space="preserve">Tom’s View: </w:t>
      </w:r>
      <w:r>
        <w:rPr>
          <w:rFonts w:ascii="Arial" w:cs="Arial" w:eastAsia="Arial" w:hAnsi="Arial"/>
          <w:color w:val="334155"/>
          <w:sz w:val="22"/>
          <w:szCs w:val="22"/>
        </w:rPr>
        <w:t xml:space="preserve">The brand system is more mature than most Series A startups. The Brand Guide v3 establishes design tokens, typography rules, logo treatments, and component patterns. The animated canary mascot with health-gradient waves is memorable and directly tied to the product metaphor. The design review scored the MVP 7/10 and produced a concrete remediation plan. The document and presentation templates ensure every external artifact looks professional and consistent. This matters because Canary’s go-to-market relies on Square Marketplace listing — Square has design and UX review requirements for approved apps. Having a documented brand system and a design review with a remediation plan signals operational maturity. The recommendation is to prioritize the P0 items from the design review (base template consolidation, CSS strategy decision, contrast fixes) before the Marketplace application.</w:t>
      </w:r>
    </w:p>
    <w:p>
      <w:pPr>
        <w:spacing w:after="160"/>
      </w:pPr>
      <w:r>
        <w:rPr>
          <w:rFonts w:ascii="Arial" w:cs="Arial" w:eastAsia="Arial" w:hAnsi="Arial"/>
          <w:b/>
          <w:bCs/>
          <w:color w:val="D97706"/>
          <w:sz w:val="22"/>
          <w:szCs w:val="22"/>
        </w:rPr>
        <w:t xml:space="preserve">PhD’s View: </w:t>
      </w:r>
      <w:r>
        <w:rPr>
          <w:rFonts w:ascii="Arial" w:cs="Arial" w:eastAsia="Arial" w:hAnsi="Arial"/>
          <w:color w:val="334155"/>
          <w:sz w:val="22"/>
          <w:szCs w:val="22"/>
        </w:rPr>
        <w:t xml:space="preserve">Brand identity serves a strategic purpose beyond aesthetics. For a DAO LLC that operates on Bitcoin rails, trust is the primary currency. The canary metaphor — an early warning system that protects miners from invisible danger — communicates the value proposition instantly. The health-gradient animation (green to yellow to red) is a visual implementation of the KAP scoring model described in the white paper. The dark theme with signal-yellow accents maps to the broader Bitcoin/fintech visual language that Canary’s target audience recognizes. Brand consistency across documents, presentations, and the web dashboard creates the kind of institutional credibility that SMB merchants look for when entrusting a platform with their transaction data. The PhD framework emphasizes that inventory truth requires trust — the brand system builds that trust from first contact.</w:t>
      </w:r>
    </w:p>
    <w:p>
      <w:pPr>
        <w:spacing w:before="300" w:after="120"/>
      </w:pPr>
      <w:r>
        <w:rPr>
          <w:rFonts w:ascii="Arial" w:cs="Arial" w:eastAsia="Arial" w:hAnsi="Arial"/>
          <w:b/>
          <w:bCs/>
          <w:color w:val="0F1923"/>
          <w:sz w:val="28"/>
          <w:szCs w:val="28"/>
        </w:rPr>
        <w:t xml:space="preserve">B.5 Documentation as Competitive Advantage</w:t>
      </w:r>
    </w:p>
    <w:p>
      <w:pPr>
        <w:spacing w:after="120"/>
      </w:pPr>
      <w:r>
        <w:rPr>
          <w:rFonts w:ascii="Arial" w:cs="Arial" w:eastAsia="Arial" w:hAnsi="Arial"/>
          <w:b/>
          <w:bCs/>
          <w:color w:val="D97706"/>
          <w:sz w:val="22"/>
          <w:szCs w:val="22"/>
        </w:rPr>
        <w:t xml:space="preserve">Tom’s View: </w:t>
      </w:r>
      <w:r>
        <w:rPr>
          <w:rFonts w:ascii="Arial" w:cs="Arial" w:eastAsia="Arial" w:hAnsi="Arial"/>
          <w:color w:val="334155"/>
          <w:sz w:val="22"/>
          <w:szCs w:val="22"/>
        </w:rPr>
        <w:t xml:space="preserve">The addition of Jess as Documentation Lead and the 49-document product library outline represents a level of process discipline that most startups never achieve. The documentation library identifies 9 existing documents, 7 partial, 31 needed, and 2 future-phase — organized into product, technical architecture, functional/business, compliance, process, brand, and strategic categories. This is the Staples best-practice library approach applied to a startup: define the document set before you need it, not after you’ve lost institutional knowledge. For the Square Marketplace application, Canary will need a privacy policy, terms of service, and functional video demo. The documentation library already has these tracked as P2 compliance items. The CI/CD documentation gate (Jess reviews every PR for docs impact) is the kind of process that prevents technical debt from accumulating. This is how you build a product that scales without drowning in support tickets.</w:t>
      </w:r>
    </w:p>
    <w:p>
      <w:pPr>
        <w:spacing w:after="160"/>
      </w:pPr>
      <w:r>
        <w:rPr>
          <w:rFonts w:ascii="Arial" w:cs="Arial" w:eastAsia="Arial" w:hAnsi="Arial"/>
          <w:b/>
          <w:bCs/>
          <w:color w:val="D97706"/>
          <w:sz w:val="22"/>
          <w:szCs w:val="22"/>
        </w:rPr>
        <w:t xml:space="preserve">PhD’s View: </w:t>
      </w:r>
      <w:r>
        <w:rPr>
          <w:rFonts w:ascii="Arial" w:cs="Arial" w:eastAsia="Arial" w:hAnsi="Arial"/>
          <w:color w:val="334155"/>
          <w:sz w:val="22"/>
          <w:szCs w:val="22"/>
        </w:rPr>
        <w:t xml:space="preserve">Documentation is the operational equivalent of Bitcoin’s immutable ledger. The DAO LLC structure requires transparent governance — operating agreement records, voting mechanisms, treasury management rules. A documented product library provides the audit trail that regulators, investors, and future DAO members will need to verify how the platform was built and how decisions were made. This connects directly to the PhD framework’s emphasis on “immutable logs” and “append-only, no deletions” (Part IV, Section 4.1). The white paper’s Section 4 (Why a DAO) claims “transparent operations” and “on-chain governance records” as competitive advantages. The documentation system is the off-chain complement to on-chain governance — together they create a complete transparency framework. ISO 27001 readiness (targeted Year 2) requires documented information security management. Starting the documentation discipline now means certification becomes an evidence-gathering exercise, not a documentation-creation project.</w:t>
      </w:r>
    </w:p>
    <w:p>
      <w:pPr>
        <w:spacing w:before="300" w:after="120"/>
      </w:pPr>
      <w:r>
        <w:rPr>
          <w:rFonts w:ascii="Arial" w:cs="Arial" w:eastAsia="Arial" w:hAnsi="Arial"/>
          <w:b/>
          <w:bCs/>
          <w:color w:val="0F1923"/>
          <w:sz w:val="28"/>
          <w:szCs w:val="28"/>
        </w:rPr>
        <w:t xml:space="preserve">B.6 Roadmap Alignment and Recommendations</w:t>
      </w:r>
    </w:p>
    <w:p>
      <w:pPr>
        <w:spacing w:after="120"/>
      </w:pPr>
      <w:r>
        <w:rPr>
          <w:rFonts w:ascii="Arial" w:cs="Arial" w:eastAsia="Arial" w:hAnsi="Arial"/>
          <w:b/>
          <w:bCs/>
          <w:color w:val="D97706"/>
          <w:sz w:val="22"/>
          <w:szCs w:val="22"/>
        </w:rPr>
        <w:t xml:space="preserve">Tom’s View: </w:t>
      </w:r>
      <w:r>
        <w:rPr>
          <w:rFonts w:ascii="Arial" w:cs="Arial" w:eastAsia="Arial" w:hAnsi="Arial"/>
          <w:color w:val="334155"/>
          <w:sz w:val="22"/>
          <w:szCs w:val="22"/>
        </w:rPr>
        <w:t xml:space="preserve">The white paper’s Section 10 roadmap is on track. Formation phase items are complete or in progress. Alpha phase items (core metric engine, Square ingestion, database, dashboard with KAP scoring) are partially delivered ahead of schedule. Specific recommendations for the next phase: (1) Migrate from SQLite to PostgreSQL before onboarding real merchants — multi-tenant isolation requires it. (2) Implement webhook ingestion (payment.updated, refund.created) to replace polling — this is required for “near-real-time” claims. (3) Add unit tests for Chirp — the detection thresholds will be calibrated against real data and need regression protection. (4) Resolve the design review P0 items before the Square Marketplace application. (5) Upgrade Square SDK from v35 to v44+ before Marketplace submission.</w:t>
      </w:r>
    </w:p>
    <w:p>
      <w:pPr>
        <w:spacing w:after="160"/>
      </w:pPr>
      <w:r>
        <w:rPr>
          <w:rFonts w:ascii="Arial" w:cs="Arial" w:eastAsia="Arial" w:hAnsi="Arial"/>
          <w:b/>
          <w:bCs/>
          <w:color w:val="D97706"/>
          <w:sz w:val="22"/>
          <w:szCs w:val="22"/>
        </w:rPr>
        <w:t xml:space="preserve">PhD’s View: </w:t>
      </w:r>
      <w:r>
        <w:rPr>
          <w:rFonts w:ascii="Arial" w:cs="Arial" w:eastAsia="Arial" w:hAnsi="Arial"/>
          <w:color w:val="334155"/>
          <w:sz w:val="22"/>
          <w:szCs w:val="22"/>
        </w:rPr>
        <w:t xml:space="preserve">The project demonstrates low time preference — PhD Principle #4. The team invested in brand identity, documentation framework, design review, and process discipline before shipping to customers. This is the Bitcoin-standard approach: build the infrastructure right the first time rather than accumulating technical debt that compounds like fiat inflation. Strategic recommendations: (1) The white paper should more prominently frame the GrowDirect platform vision (Canary + Heartbeat + Vignette) from the Master Spec — Canary LP is the beachhead product, but the long-term value is a unified retail intelligence platform. (2) Formalize the privacy architecture from Section 7 into a standalone compliance document — the fingerprint-first scoring model is a genuine differentiator and should be highlighted in Marketplace applications. (3) Begin collecting baseline shrinkage metrics from beta merchants immediately — the PhD research hypotheses (H1 through H5) require real-world data to validate. (4) The DAO governance framework should be documented before the first external member joins — governance rules must exist before they’re needed, not after.</w:t>
      </w:r>
    </w:p>
    <w:p>
      <w:pPr>
        <w:spacing w:before="300" w:after="120"/>
      </w:pPr>
      <w:r>
        <w:rPr>
          <w:rFonts w:ascii="Arial" w:cs="Arial" w:eastAsia="Arial" w:hAnsi="Arial"/>
          <w:b/>
          <w:bCs/>
          <w:color w:val="0F1923"/>
          <w:sz w:val="28"/>
          <w:szCs w:val="28"/>
        </w:rPr>
        <w:t xml:space="preserve">B.7 Shared Assessment</w:t>
      </w:r>
    </w:p>
    <w:p>
      <w:pPr>
        <w:spacing w:after="160"/>
      </w:pPr>
      <w:r>
        <w:rPr>
          <w:rFonts w:ascii="Arial" w:cs="Arial" w:eastAsia="Arial" w:hAnsi="Arial"/>
          <w:color w:val="334155"/>
          <w:sz w:val="22"/>
          <w:szCs w:val="22"/>
        </w:rPr>
        <w:t xml:space="preserve">Both reviewers agree on the following conclusions:</w:t>
      </w:r>
    </w:p>
    <w:p>
      <w:pPr>
        <w:numPr>
          <w:ilvl w:val="0"/>
          <w:numId w:val="1"/>
        </w:numPr>
        <w:spacing w:after="80"/>
      </w:pPr>
      <w:r>
        <w:rPr>
          <w:rFonts w:ascii="Arial" w:cs="Arial" w:eastAsia="Arial" w:hAnsi="Arial"/>
          <w:b/>
          <w:bCs/>
          <w:color w:val="334155"/>
          <w:sz w:val="22"/>
          <w:szCs w:val="22"/>
        </w:rPr>
        <w:t xml:space="preserve">The white paper accurately represents the vision. </w:t>
      </w:r>
      <w:r>
        <w:rPr>
          <w:rFonts w:ascii="Arial" w:cs="Arial" w:eastAsia="Arial" w:hAnsi="Arial"/>
          <w:color w:val="334155"/>
          <w:sz w:val="22"/>
          <w:szCs w:val="22"/>
        </w:rPr>
        <w:t xml:space="preserve">The core thesis — that enterprise LP analytics can be delivered to SMBs via POS APIs and Bitcoin payment rails — is validated by the working MVP.</w:t>
      </w:r>
    </w:p>
    <w:p>
      <w:pPr>
        <w:numPr>
          <w:ilvl w:val="0"/>
          <w:numId w:val="1"/>
        </w:numPr>
        <w:spacing w:after="80"/>
      </w:pPr>
      <w:r>
        <w:rPr>
          <w:rFonts w:ascii="Arial" w:cs="Arial" w:eastAsia="Arial" w:hAnsi="Arial"/>
          <w:b/>
          <w:bCs/>
          <w:color w:val="334155"/>
          <w:sz w:val="22"/>
          <w:szCs w:val="22"/>
        </w:rPr>
        <w:t xml:space="preserve">The project is ahead of schedule. </w:t>
      </w:r>
      <w:r>
        <w:rPr>
          <w:rFonts w:ascii="Arial" w:cs="Arial" w:eastAsia="Arial" w:hAnsi="Arial"/>
          <w:color w:val="334155"/>
          <w:sz w:val="22"/>
          <w:szCs w:val="22"/>
        </w:rPr>
        <w:t xml:space="preserve">Several Alpha milestones have been delivered during the Formation phase. The operational foundation (brand, docs, process, code) exceeds what is typical for a pre-Alpha startup.</w:t>
      </w:r>
    </w:p>
    <w:p>
      <w:pPr>
        <w:numPr>
          <w:ilvl w:val="0"/>
          <w:numId w:val="1"/>
        </w:numPr>
        <w:spacing w:after="80"/>
      </w:pPr>
      <w:r>
        <w:rPr>
          <w:rFonts w:ascii="Arial" w:cs="Arial" w:eastAsia="Arial" w:hAnsi="Arial"/>
          <w:b/>
          <w:bCs/>
          <w:color w:val="334155"/>
          <w:sz w:val="22"/>
          <w:szCs w:val="22"/>
        </w:rPr>
        <w:t xml:space="preserve">The simplicity-first approach is correct. </w:t>
      </w:r>
      <w:r>
        <w:rPr>
          <w:rFonts w:ascii="Arial" w:cs="Arial" w:eastAsia="Arial" w:hAnsi="Arial"/>
          <w:color w:val="334155"/>
          <w:sz w:val="22"/>
          <w:szCs w:val="22"/>
        </w:rPr>
        <w:t xml:space="preserve">The gap between the master spec’s full vision (AVAX subnets, Solidity contracts, five detection domains) and the MVP’s pragmatic implementation (Flask, SQLite, four refund rules) is a deliberate strategy, not a shortfall. Ship simple, prove value, layer complexity.</w:t>
      </w:r>
    </w:p>
    <w:p>
      <w:pPr>
        <w:numPr>
          <w:ilvl w:val="0"/>
          <w:numId w:val="1"/>
        </w:numPr>
        <w:spacing w:after="80"/>
      </w:pPr>
      <w:r>
        <w:rPr>
          <w:rFonts w:ascii="Arial" w:cs="Arial" w:eastAsia="Arial" w:hAnsi="Arial"/>
          <w:b/>
          <w:bCs/>
          <w:color w:val="334155"/>
          <w:sz w:val="22"/>
          <w:szCs w:val="22"/>
        </w:rPr>
        <w:t xml:space="preserve">The team structure works. </w:t>
      </w:r>
      <w:r>
        <w:rPr>
          <w:rFonts w:ascii="Arial" w:cs="Arial" w:eastAsia="Arial" w:hAnsi="Arial"/>
          <w:color w:val="334155"/>
          <w:sz w:val="22"/>
          <w:szCs w:val="22"/>
        </w:rPr>
        <w:t xml:space="preserve">The agentic model (Jeremy as founder/strategist, Tom as systems architect, Jess as documentation lead) creates clear ownership domains with minimal overlap. Each role has defined deliverables, behavioral rules, and quality standards. This is a scalable team pattern.</w:t>
      </w:r>
    </w:p>
    <w:p>
      <w:pPr>
        <w:numPr>
          <w:ilvl w:val="0"/>
          <w:numId w:val="1"/>
        </w:numPr>
        <w:spacing w:after="80"/>
      </w:pPr>
      <w:r>
        <w:rPr>
          <w:rFonts w:ascii="Arial" w:cs="Arial" w:eastAsia="Arial" w:hAnsi="Arial"/>
          <w:b/>
          <w:bCs/>
          <w:color w:val="334155"/>
          <w:sz w:val="22"/>
          <w:szCs w:val="22"/>
        </w:rPr>
        <w:t xml:space="preserve">The next priority is real merchants. </w:t>
      </w:r>
      <w:r>
        <w:rPr>
          <w:rFonts w:ascii="Arial" w:cs="Arial" w:eastAsia="Arial" w:hAnsi="Arial"/>
          <w:color w:val="334155"/>
          <w:sz w:val="22"/>
          <w:szCs w:val="22"/>
        </w:rPr>
        <w:t xml:space="preserve">The MVP is proven in sandbox. The PostgreSQL migration, webhook implementation, and production deployment are the gates to onboarding the first 5 beta merchants. Everything built so far — brand, docs, process, code — is preparation for that moment.</w:t>
      </w:r>
    </w:p>
    <w:p>
      <w:pPr>
        <w:spacing w:before="300" w:after="160"/>
      </w:pPr>
      <w:r>
        <w:rPr>
          <w:rFonts w:ascii="Arial" w:cs="Arial" w:eastAsia="Arial" w:hAnsi="Arial"/>
          <w:i/>
          <w:iCs/>
          <w:color w:val="64748B"/>
          <w:sz w:val="20"/>
          <w:szCs w:val="20"/>
        </w:rPr>
        <w:t xml:space="preserve">Appendix B reviewed by: Tom (Systems Architect) and PhD (Bitcoin-Native LP Specialist), February 15, 2026</w:t>
      </w:r>
    </w:p>
    <w:p>
      <w:pPr>
        <w:spacing w:before="600" w:after="200"/>
        <w:jc w:val="center"/>
      </w:pPr>
      <w:r>
        <w:rPr>
          <w:rFonts w:ascii="Arial" w:cs="Arial" w:eastAsia="Arial" w:hAnsi="Arial"/>
          <w:i/>
          <w:iCs/>
          <w:color w:val="64748B"/>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DC2626"/>
        <w:sz w:val="16"/>
        <w:szCs w:val="16"/>
      </w:rPr>
      <w:t xml:space="preserve">CLASSIFIED R&amp;D</w:t>
    </w:r>
    <w:r>
      <w:rPr>
        <w:rFonts w:ascii="Arial" w:cs="Arial" w:eastAsia="Arial" w:hAnsi="Arial"/>
        <w:color w:val="64748B"/>
        <w:sz w:val="16"/>
        <w:szCs w:val="16"/>
      </w:rPr>
      <w:t xml:space="preserve">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8"/>
        <w:szCs w:val="18"/>
      </w:rPr>
      <w:t xml:space="preserve">Canary DAO LLC </w:t>
    </w:r>
    <w:r>
      <w:rPr>
        <w:rFonts w:ascii="Arial" w:cs="Arial" w:eastAsia="Arial" w:hAnsi="Arial"/>
        <w:color w:val="E2E8F0"/>
        <w:sz w:val="18"/>
        <w:szCs w:val="18"/>
      </w:rPr>
      <w:t xml:space="preserve">| </w:t>
    </w:r>
    <w:r>
      <w:rPr>
        <w:rFonts w:ascii="Arial" w:cs="Arial" w:eastAsia="Arial" w:hAnsi="Arial"/>
        <w:i/>
        <w:iCs/>
        <w:color w:val="64748B"/>
        <w:sz w:val="18"/>
        <w:szCs w:val="18"/>
      </w:rPr>
      <w:t xml:space="preserve">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FBBF24"/>
      <w:sz w:val="32"/>
      <w:szCs w:val="32"/>
    </w:rPr>
  </w:style>
  <w:style w:type="paragraph" w:styleId="Heading2">
    <w:name w:val="Heading 2"/>
    <w:basedOn w:val="Normal"/>
    <w:next w:val="Normal"/>
    <w:qFormat/>
    <w:rPr>
      <w:color w:val="FBBF2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FBBF24"/>
    </w:rPr>
  </w:style>
  <w:style w:type="paragraph" w:styleId="Heading5">
    <w:name w:val="Heading 5"/>
    <w:basedOn w:val="Normal"/>
    <w:next w:val="Normal"/>
    <w:qFormat/>
    <w:rPr>
      <w:color w:val="FBBF2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923"/>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D9770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19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81824ab68fab968ea2b7bc9a872f86e80052359.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2026-02-13T02:46:17.836Z</dcterms:created>
  <dcterms:modified xsi:type="dcterms:W3CDTF">2026-02-13T02:46:17.836Z</dcterms:modified>
</cp:coreProperties>
</file>

<file path=docProps/custom.xml><?xml version="1.0" encoding="utf-8"?>
<Properties xmlns="http://schemas.openxmlformats.org/officeDocument/2006/custom-properties" xmlns:vt="http://schemas.openxmlformats.org/officeDocument/2006/docPropsVTypes"/>
</file>