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FBBF24"/>
          <w:sz w:val="36"/>
          <w:szCs w:val="36"/>
        </w:rPr>
        <w:t xml:space="preserve">GROWDIRECT LLC</w:t>
      </w:r>
    </w:p>
    <w:p>
      <w:pPr>
        <w:pBdr>
          <w:bottom w:val="single" w:color="E0E0E0" w:sz="4" w:space="4"/>
        </w:pBdr>
        <w:spacing w:after="200" w:before="2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D78"/>
          <w:sz w:val="32"/>
          <w:szCs w:val="32"/>
        </w:rPr>
        <w:t xml:space="preserve">LEGAL MEMORANDUM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Attorney Handoff: GrowDirect DAO LLC Formation Package</w:t>
      </w:r>
    </w:p>
    <w:p>
      <w:pPr>
        <w:pBdr>
          <w:bottom w:val="single" w:color="E0E0E0" w:sz="4" w:space="4"/>
        </w:pBdr>
        <w:spacing w:after="200" w:before="200"/>
      </w:pP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To: </w:t>
      </w:r>
      <w:r>
        <w:rPr>
          <w:color w:val="666666"/>
          <w:sz w:val="20"/>
          <w:szCs w:val="20"/>
        </w:rPr>
        <w:t xml:space="preserve">Reviewing Attorney / Outside Counsel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From: </w:t>
      </w:r>
      <w:r>
        <w:rPr>
          <w:color w:val="666666"/>
          <w:sz w:val="20"/>
          <w:szCs w:val="20"/>
        </w:rPr>
        <w:t xml:space="preserve">GrowDirect Legal (Internal Preparation)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Date: </w:t>
      </w:r>
      <w:r>
        <w:rPr>
          <w:color w:val="666666"/>
          <w:sz w:val="20"/>
          <w:szCs w:val="20"/>
        </w:rPr>
        <w:t xml:space="preserve">February 2026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RE: </w:t>
      </w:r>
      <w:r>
        <w:rPr>
          <w:color w:val="666666"/>
          <w:sz w:val="20"/>
          <w:szCs w:val="20"/>
        </w:rPr>
        <w:t xml:space="preserve">Wyoming DAO LLC Formation — Complete Filing Package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Client: </w:t>
      </w:r>
      <w:r>
        <w:rPr>
          <w:color w:val="666666"/>
          <w:sz w:val="20"/>
          <w:szCs w:val="20"/>
        </w:rPr>
        <w:t xml:space="preserve">Geoffrey C. Lyle, Founder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Contact: </w:t>
      </w:r>
      <w:r>
        <w:rPr>
          <w:color w:val="666666"/>
          <w:sz w:val="20"/>
          <w:szCs w:val="20"/>
        </w:rPr>
        <w:t xml:space="preserve">gclyle@growdirect.io | 310-905-9272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Classification: </w:t>
      </w:r>
      <w:r>
        <w:rPr>
          <w:color w:val="666666"/>
          <w:sz w:val="20"/>
          <w:szCs w:val="20"/>
        </w:rPr>
        <w:t xml:space="preserve">PRIVILEGED &amp; CONFIDENTIAL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memorandum accompanies a complete formation package for GrowDirect DAO LLC, a Wyoming Decentralized Autonomous Organization Limited Liability Company to be organized under W.S. 17-29-101 et seq. (Wyoming LLC Act) and W.S. 17-31-101 et seq. (Wyoming DAO Supplement).</w:t>
      </w:r>
    </w:p>
    <w:p>
      <w:pPr>
        <w:spacing w:after="120"/>
      </w:pPr>
      <w:r>
        <w:t xml:space="preserve">GrowDirect is an AI-powered loss prevention and fraud detection platform for retail merchants, with Bitcoin and Lightning Network payment infrastructure as a core differentiator. The founder, Geoffrey C. Lyle, has 25+ years of enterprise retail technology experience.</w:t>
      </w:r>
    </w:p>
    <w:p>
      <w:pPr>
        <w:spacing w:after="120"/>
      </w:pPr>
      <w:r>
        <w:t xml:space="preserve">The enclosed package has been prepared internally to minimize attorney time and cost. We are requesting outside counsel to review, refine, and take over the filing. The goal is a clean, compliant formation that positions GrowDirect for seed fundraising, Square Marketplace app certification, and potential open-source licensing.</w:t>
      </w:r>
    </w:p>
    <w:p>
      <w:pPr>
        <w:pStyle w:val="Heading1"/>
      </w:pPr>
      <w:r>
        <w:t xml:space="preserve">2. Package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Articles of Organization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— 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Operating Agreement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— 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Governance Smart 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.sol (Solidity)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— Needs Audit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Filing Checklist &amp; Timeline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Legal Memo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1"/>
      </w:pPr>
      <w:r>
        <w:t xml:space="preserve">3. Why Wyoming DAO LLC</w:t>
      </w:r>
    </w:p>
    <w:p>
      <w:pPr>
        <w:spacing w:after="120"/>
      </w:pPr>
      <w:r>
        <w:t xml:space="preserve">Wyoming was selected for the following reasons: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U.S. state to provide a dedicated DAO legal framework (W.S. 17-31, effective July 2021, amended 2022).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contract integration: W.S. 17-31-104(b)(iii) requires a publicly available smart contract identifier, creating legal recognition for on-chain governance.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contract supremacy: W.S. 17-31-106(b) establishes that smart contracts control over the operating agreement and articles in case of conflict.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Bitcoin-friendly jurisdiction: No state income tax, favorable digital asset treatment, and the 2019 Wyoming Utility Token Act provides additional clarity.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formation cost: $100 filing fee, $60/year annual report minimum.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Upgradeability requirement: W.S. 17-31-106(d) requires that algorithmically managed DAOs have upgradeable smart contracts, which aligns with our UUPS proxy pattern.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Avalanche alignment: Wyoming deployed its Frontier Stable Token (FRNT) on the Avalanche C-Chain in 2025, making Avalanche the state’s preferred blockchain infrastructure. GrowDirect will deploy its governance smart contract on the same chain and operate a validator node (3,000 AVAX).</w:t>
      </w:r>
    </w:p>
    <w:p>
      <w:pPr>
        <w:pStyle w:val="Heading1"/>
      </w:pPr>
      <w:r>
        <w:t xml:space="preserve">4. Issues Requiring Attorney Review</w:t>
      </w:r>
    </w:p>
    <w:p>
      <w:pPr>
        <w:pStyle w:val="Heading2"/>
      </w:pPr>
      <w:r>
        <w:t xml:space="preserve">4.1 Securities Classification (CRITICAL)</w:t>
      </w:r>
    </w:p>
    <w:p>
      <w:pPr>
        <w:spacing w:after="120"/>
      </w:pPr>
      <w:r>
        <w:t xml:space="preserve">The GROW governance token may constitute a security under the Howey test. The token grants voting rights, proportional economic interest, and potential distributions. Attorney should: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Conduct a Howey analysis for GROW token classification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Evaluate whether Regulation D (Rule 506(b) or 506(c)) exemptions apply for initial token distribution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Assess whether the DAO structure creates an “investment contract” with an expectation of profit derived from the efforts of others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Consider whether the token could qualify as a non-security governance token if economic rights are removed or limited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implications of SEC v. Ooki DAO (CFTC enforcement, 2022) and SEC enforcement against other DAOs</w:t>
      </w:r>
    </w:p>
    <w:p>
      <w:pPr>
        <w:pStyle w:val="Heading2"/>
      </w:pPr>
      <w:r>
        <w:t xml:space="preserve">4.2 Token Allocation and Cap Table</w:t>
      </w:r>
    </w:p>
    <w:p>
      <w:pPr>
        <w:spacing w:after="120"/>
      </w:pPr>
      <w:r>
        <w:t xml:space="preserve">The Operating Agreement contains a proposed token allocation (51% Founder, 15% Team, 20% Treasury, 10% Community, 4% Investors). Attorney should: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these percentages align with fundraising strategy and investor expectations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vesting schedules (4-year, 1-year cliff) for market appropriateness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Evaluate interaction between GROW tokens and any SAFE or convertible note instruments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Consider anti-dilution protections and preemptive rights for early investors</w:t>
      </w:r>
    </w:p>
    <w:p>
      <w:pPr>
        <w:pStyle w:val="Heading2"/>
      </w:pPr>
      <w:r>
        <w:t xml:space="preserve">4.3 Fiduciary Duty Modifications</w:t>
      </w:r>
    </w:p>
    <w:p>
      <w:pPr>
        <w:spacing w:after="120"/>
      </w:pPr>
      <w:r>
        <w:t xml:space="preserve">W.S. 17-31-106(a) permits DAOs to “define, reduce, or eliminate” fiduciary duties. Our Operating Agreement modifies but does not eliminate duties. Attorney should: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scope of fiduciary duty modifications is appropriate and enforceable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Evaluate whether the on-chain voting safe harbor (Section 6.3) is legally sound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Consider Delaware and other state law comparisons for duty of care/loyalty standards</w:t>
      </w:r>
    </w:p>
    <w:p>
      <w:pPr>
        <w:pStyle w:val="Heading2"/>
      </w:pPr>
      <w:r>
        <w:t xml:space="preserve">4.4 Smart Contract and Audit</w:t>
      </w:r>
    </w:p>
    <w:p>
      <w:pPr>
        <w:spacing w:after="120"/>
      </w:pPr>
      <w:r>
        <w:t xml:space="preserve">The enclosed Solidity smart contract is a draft implementing the governance framework, targeted for deployment on Avalanche C-Chain. Before deployment: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professional smart contract security audit is required (OpenZeppelin, Trail of Bits, Consensys Diligence recommended)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UUPS upgradeable proxy pattern satisfies W.S. 17-31-106(d) but introduces upgrade authority risks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contract address must be filed as an amendment within 30 days of formation (W.S. 17-31-104(c))</w:t>
      </w:r>
    </w:p>
    <w:p>
      <w:pPr>
        <w:pStyle w:val="Heading2"/>
      </w:pPr>
      <w:r>
        <w:t xml:space="preserve">4.5 Tax Structure</w:t>
      </w:r>
    </w:p>
    <w:p>
      <w:pPr>
        <w:spacing w:after="120"/>
      </w:pPr>
      <w:r>
        <w:t xml:space="preserve">Attorney and/or CPA should advise on: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Optimal entity classification: disregarded entity (single member), partnership (multi-member), or corporate (check-the-box election)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Bitcoin treasury tax treatment: IRS Notice 2014-21, Rev. Rul. 2019-24, and proposed regulations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State tax implications in California (where founder is based) and Wyoming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Lightning Network payment tax treatment for merchant-facing micropayments</w:t>
      </w:r>
    </w:p>
    <w:p>
      <w:pPr>
        <w:pStyle w:val="Heading2"/>
      </w:pPr>
      <w:r>
        <w:t xml:space="preserve">4.6 Registered Agent</w:t>
      </w:r>
    </w:p>
    <w:p>
      <w:pPr>
        <w:spacing w:after="120"/>
      </w:pPr>
      <w:r>
        <w:t xml:space="preserve">A Wyoming registered agent must be designated before filing. We recommend the attorney select or recommend one. The filing checklist includes options.</w:t>
      </w:r>
    </w:p>
    <w:p>
      <w:pPr>
        <w:pStyle w:val="Heading2"/>
      </w:pPr>
      <w:r>
        <w:t xml:space="preserve">4.7 FinCEN Beneficial Ownership Information (BOI)</w:t>
      </w:r>
    </w:p>
    <w:p>
      <w:pPr>
        <w:spacing w:after="120"/>
      </w:pPr>
      <w:r>
        <w:t xml:space="preserve">Under the Corporate Transparency Act, the Company must file a BOI report with FinCEN within 30 days of formation identifying beneficial owners. Attorney should confirm current BOI reporting requirements given evolving enforcement status.</w:t>
      </w:r>
    </w:p>
    <w:p>
      <w:pPr>
        <w:pStyle w:val="Heading1"/>
      </w:pPr>
      <w:r>
        <w:t xml:space="preserve">5. What We Need from Counsel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and finalize all enclosed documents (Articles, Operating Agreement, Smart Contract)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Howey analysis memorandum for the GROW governance 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 and engage a Wyoming registered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the Articles of Organization with the Wyoming Secretary of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Obtain the EIN from IRS (or advise if CPA should handle)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Advise on tax entity election (partnership vs. corporate treatment)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the Articles Amendment with the smart contract address (within 30 days of formation)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the BOI report with FinCEN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 a smart contract auditor and coordinate the audit timeline</w:t>
      </w:r>
    </w:p>
    <w:p>
      <w:pPr>
        <w:pStyle w:val="Heading1"/>
      </w:pPr>
      <w:r>
        <w:t xml:space="preserve">6. Requested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Week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 review of package, engagement letter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Finalize Articles + select registered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 + Jeffe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Articles with Wyoming SOS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for EIN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Attorney/CPA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3–4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Howey analysis memo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Securities counsel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4–6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 contract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 (attorney coordinates)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BOI report with FinCEN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Attorney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smart contract + file Articles Amendment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Jeremy + Attorney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bank account + set up treasury wallet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Jeffe + Jeremy</w:t>
            </w:r>
          </w:p>
        </w:tc>
      </w:tr>
    </w:tbl>
    <w:p>
      <w:pPr>
        <w:pStyle w:val="Heading1"/>
      </w:pPr>
      <w:r>
        <w:t xml:space="preserve">7. Closing Notes</w:t>
      </w:r>
    </w:p>
    <w:p>
      <w:pPr>
        <w:spacing w:after="120"/>
      </w:pPr>
      <w:r>
        <w:t xml:space="preserve">This package represents a thorough internal preparation effort designed to minimize outside counsel hours while ensuring nothing critical is missed. We are not asking counsel to draft from scratch — we are asking counsel to review, refine, and take over the filing.</w:t>
      </w:r>
    </w:p>
    <w:p>
      <w:pPr>
        <w:spacing w:before="100"/>
      </w:pPr>
    </w:p>
    <w:p>
      <w:pPr>
        <w:spacing w:after="120"/>
      </w:pPr>
      <w:r>
        <w:t xml:space="preserve">The founder is available for calls at any time. Please direct all communications to:</w:t>
      </w:r>
    </w:p>
    <w:p>
      <w:pPr>
        <w:spacing w:after="120"/>
      </w:pPr>
      <w:r>
        <w:rPr>
          <w:b/>
          <w:bCs/>
        </w:rPr>
        <w:t xml:space="preserve">Geoffrey C. Lyle</w:t>
      </w:r>
    </w:p>
    <w:p>
      <w:pPr>
        <w:spacing w:after="120"/>
      </w:pPr>
      <w:r>
        <w:rPr>
          <w:b/>
          <w:bCs/>
        </w:rPr>
        <w:t xml:space="preserve">Email: </w:t>
      </w:r>
      <w:r>
        <w:t xml:space="preserve">gclyle@growdirect.io</w:t>
      </w:r>
    </w:p>
    <w:p>
      <w:pPr>
        <w:spacing w:after="120"/>
      </w:pPr>
      <w:r>
        <w:rPr>
          <w:b/>
          <w:bCs/>
        </w:rPr>
        <w:t xml:space="preserve">Phone: </w:t>
      </w:r>
      <w:r>
        <w:t xml:space="preserve">310-905-9272</w:t>
      </w:r>
    </w:p>
    <w:p>
      <w:pPr>
        <w:spacing w:before="200"/>
      </w:pPr>
    </w:p>
    <w:p>
      <w:pPr>
        <w:spacing w:after="120"/>
      </w:pPr>
      <w:r>
        <w:rPr>
          <w:i/>
          <w:iCs/>
        </w:rPr>
        <w:t xml:space="preserve">Respectfully submitted,</w:t>
      </w:r>
    </w:p>
    <w:p>
      <w:pPr>
        <w:spacing w:after="120"/>
      </w:pPr>
      <w:r>
        <w:rPr>
          <w:i/>
          <w:iCs/>
        </w:rPr>
        <w:t xml:space="preserve">GrowDirect Legal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FBBF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FBBF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2026-02-25T03:18:46.177Z</dcterms:created>
  <dcterms:modified xsi:type="dcterms:W3CDTF">2026-02-25T03:18:46.177Z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