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BBF24" w:sz="24"/>
        </w:pBdr>
        <w:spacing w:before="2400" w:after="0"/>
      </w:pPr>
      <w:r>
        <w:rPr>
          <w:rFonts w:ascii="Calibri" w:cs="Calibri" w:eastAsia="Calibri" w:hAnsi="Calibri"/>
          <w:sz w:val="22"/>
          <w:szCs w:val="22"/>
        </w:rPr>
        <w:t xml:space="preserve"/>
      </w:r>
    </w:p>
    <w:p>
      <w:pPr>
        <w:spacing w:before="0" w:after="120"/>
      </w:pPr>
      <w:r>
        <w:rPr>
          <w:rFonts w:ascii="Calibri" w:cs="Calibri" w:eastAsia="Calibri" w:hAnsi="Calibri"/>
          <w:sz w:val="22"/>
          <w:szCs w:val="22"/>
        </w:rPr>
        <w:t xml:space="preserve"/>
      </w:r>
    </w:p>
    <w:p>
      <w:pPr>
        <w:spacing w:before="0" w:after="60"/>
        <w:jc w:val="left"/>
      </w:pPr>
      <w:r>
        <w:rPr>
          <w:rFonts w:ascii="Calibri" w:cs="Calibri" w:eastAsia="Calibri" w:hAnsi="Calibri"/>
          <w:b/>
          <w:bCs/>
          <w:color w:val="FBBF24"/>
          <w:sz w:val="72"/>
          <w:szCs w:val="72"/>
        </w:rPr>
        <w:t xml:space="preserve">CANARY</w:t>
      </w:r>
    </w:p>
    <w:p>
      <w:pPr>
        <w:spacing w:before="0" w:after="0"/>
        <w:jc w:val="left"/>
      </w:pPr>
      <w:r>
        <w:rPr>
          <w:rFonts w:ascii="Calibri" w:cs="Calibri" w:eastAsia="Calibri" w:hAnsi="Calibri"/>
          <w:color w:val="9CA3AF"/>
          <w:sz w:val="28"/>
          <w:szCs w:val="28"/>
        </w:rPr>
        <w:t xml:space="preserve">EARLY WARNING LP</w:t>
      </w:r>
    </w:p>
    <w:p>
      <w:pPr>
        <w:spacing w:before="0" w:after="180"/>
      </w:pPr>
      <w:r>
        <w:rPr>
          <w:rFonts w:ascii="Calibri" w:cs="Calibri" w:eastAsia="Calibri" w:hAnsi="Calibri"/>
          <w:sz w:val="22"/>
          <w:szCs w:val="22"/>
        </w:rPr>
        <w:t xml:space="preserve"/>
      </w:r>
    </w:p>
    <w:p>
      <w:pPr>
        <w:spacing w:before="0" w:after="100"/>
      </w:pPr>
      <w:r>
        <w:rPr>
          <w:rFonts w:ascii="Calibri" w:cs="Calibri" w:eastAsia="Calibri" w:hAnsi="Calibri"/>
          <w:b/>
          <w:bCs/>
          <w:color w:val="E5E7EB"/>
          <w:sz w:val="48"/>
          <w:szCs w:val="48"/>
        </w:rPr>
        <w:t xml:space="preserve">MVP Scope &amp; Sprint Plan</w:t>
      </w:r>
    </w:p>
    <w:p>
      <w:pPr>
        <w:spacing w:before="0" w:after="0"/>
      </w:pPr>
      <w:r>
        <w:rPr>
          <w:rFonts w:ascii="Calibri" w:cs="Calibri" w:eastAsia="Calibri" w:hAnsi="Calibri"/>
          <w:color w:val="9CA3AF"/>
          <w:sz w:val="28"/>
          <w:szCs w:val="28"/>
        </w:rPr>
        <w:t xml:space="preserve">Path to Square Marketplace Listing</w:t>
      </w:r>
    </w:p>
    <w:p>
      <w:pPr>
        <w:spacing w:before="0" w:after="300"/>
      </w:pPr>
      <w:r>
        <w:rPr>
          <w:rFonts w:ascii="Calibri" w:cs="Calibri" w:eastAsia="Calibri" w:hAnsi="Calibri"/>
          <w:sz w:val="22"/>
          <w:szCs w:val="22"/>
        </w:rPr>
        <w:t xml:space="preserve"/>
      </w:r>
    </w:p>
    <w:p>
      <w:pPr>
        <w:pBdr>
          <w:top w:val="single" w:color="374151" w:sz="4"/>
        </w:pBdr>
        <w:spacing w:before="0" w:after="80"/>
      </w:pPr>
      <w:r>
        <w:rPr>
          <w:sz w:val="22"/>
          <w:szCs w:val="22"/>
        </w:rPr>
        <w:t xml:space="preserve"/>
      </w:r>
    </w:p>
    <w:p>
      <w:pPr>
        <w:spacing w:before="40" w:after="40"/>
      </w:pPr>
      <w:r>
        <w:rPr>
          <w:rFonts w:ascii="Calibri" w:cs="Calibri" w:eastAsia="Calibri" w:hAnsi="Calibri"/>
          <w:color w:val="9CA3AF"/>
          <w:sz w:val="20"/>
          <w:szCs w:val="20"/>
        </w:rPr>
        <w:t xml:space="preserve">Prepared by:  </w:t>
      </w:r>
      <w:r>
        <w:rPr>
          <w:rFonts w:ascii="Calibri" w:cs="Calibri" w:eastAsia="Calibri" w:hAnsi="Calibri"/>
          <w:b/>
          <w:bCs/>
          <w:color w:val="374151"/>
          <w:sz w:val="20"/>
          <w:szCs w:val="20"/>
        </w:rPr>
        <w:t xml:space="preserve">Canary LP / GrowDirect</w:t>
      </w:r>
    </w:p>
    <w:p>
      <w:pPr>
        <w:spacing w:before="40" w:after="40"/>
      </w:pPr>
      <w:r>
        <w:rPr>
          <w:rFonts w:ascii="Calibri" w:cs="Calibri" w:eastAsia="Calibri" w:hAnsi="Calibri"/>
          <w:color w:val="9CA3AF"/>
          <w:sz w:val="20"/>
          <w:szCs w:val="20"/>
        </w:rPr>
        <w:t xml:space="preserve">Date:  </w:t>
      </w:r>
      <w:r>
        <w:rPr>
          <w:rFonts w:ascii="Calibri" w:cs="Calibri" w:eastAsia="Calibri" w:hAnsi="Calibri"/>
          <w:b/>
          <w:bCs/>
          <w:color w:val="374151"/>
          <w:sz w:val="20"/>
          <w:szCs w:val="20"/>
        </w:rPr>
        <w:t xml:space="preserve">February 2026</w:t>
      </w:r>
    </w:p>
    <w:p>
      <w:pPr>
        <w:spacing w:before="40" w:after="40"/>
      </w:pPr>
      <w:r>
        <w:rPr>
          <w:rFonts w:ascii="Calibri" w:cs="Calibri" w:eastAsia="Calibri" w:hAnsi="Calibri"/>
          <w:color w:val="9CA3AF"/>
          <w:sz w:val="20"/>
          <w:szCs w:val="20"/>
        </w:rPr>
        <w:t xml:space="preserve">Version:  </w:t>
      </w:r>
      <w:r>
        <w:rPr>
          <w:rFonts w:ascii="Calibri" w:cs="Calibri" w:eastAsia="Calibri" w:hAnsi="Calibri"/>
          <w:b/>
          <w:bCs/>
          <w:color w:val="374151"/>
          <w:sz w:val="20"/>
          <w:szCs w:val="20"/>
        </w:rPr>
        <w:t xml:space="preserve">1.0</w:t>
      </w:r>
    </w:p>
    <w:p>
      <w:pPr>
        <w:spacing w:before="40" w:after="40"/>
      </w:pPr>
      <w:r>
        <w:rPr>
          <w:rFonts w:ascii="Calibri" w:cs="Calibri" w:eastAsia="Calibri" w:hAnsi="Calibri"/>
          <w:color w:val="9CA3AF"/>
          <w:sz w:val="20"/>
          <w:szCs w:val="20"/>
        </w:rPr>
        <w:t xml:space="preserve">Audience:  </w:t>
      </w:r>
      <w:r>
        <w:rPr>
          <w:rFonts w:ascii="Calibri" w:cs="Calibri" w:eastAsia="Calibri" w:hAnsi="Calibri"/>
          <w:b/>
          <w:bCs/>
          <w:color w:val="374151"/>
          <w:sz w:val="20"/>
          <w:szCs w:val="20"/>
        </w:rPr>
        <w:t xml:space="preserve">Square App Marketplace Review Team</w:t>
      </w:r>
    </w:p>
    <w:p>
      <w:pPr>
        <w:spacing w:before="40" w:after="40"/>
      </w:pPr>
      <w:r>
        <w:rPr>
          <w:rFonts w:ascii="Calibri" w:cs="Calibri" w:eastAsia="Calibri" w:hAnsi="Calibri"/>
          <w:color w:val="9CA3AF"/>
          <w:sz w:val="20"/>
          <w:szCs w:val="20"/>
        </w:rPr>
        <w:t xml:space="preserve">Classification:  </w:t>
      </w:r>
      <w:r>
        <w:rPr>
          <w:rFonts w:ascii="Calibri" w:cs="Calibri" w:eastAsia="Calibri" w:hAnsi="Calibri"/>
          <w:b/>
          <w:bCs/>
          <w:color w:val="374151"/>
          <w:sz w:val="20"/>
          <w:szCs w:val="20"/>
        </w:rPr>
        <w:t xml:space="preserve">External — Marketplace Submission</w:t>
      </w:r>
    </w:p>
    <w:p>
      <w:pPr>
        <w:sectPr>
          <w:headerReference w:type="default" r:id="rId6"/>
          <w:headerReference w:type="first" r:id="rId7"/>
          <w:footerReference w:type="default" r:id="rId8"/>
          <w:footerReference w:type="first" r:id="rId9"/>
          <w:pgSz w:w="12240" w:h="15840" w:orient="portrait"/>
          <w:pgMar w:top="1800" w:right="1800" w:bottom="1800" w:left="1800" w:header="708" w:footer="708" w:gutter="0"/>
          <w:pgNumType/>
          <w:titlePg/>
          <w:docGrid w:linePitch="360"/>
        </w:sectPr>
      </w:pPr>
    </w:p>
    <w:p>
      <w:pPr>
        <w:pStyle w:val="Heading1"/>
        <w:keepNext/>
        <w:pBdr>
          <w:bottom w:val="single" w:color="FBBF24" w:sz="6" w:space="4"/>
        </w:pBdr>
        <w:spacing w:before="400" w:after="120"/>
      </w:pPr>
      <w:r>
        <w:rPr>
          <w:rFonts w:ascii="Calibri" w:cs="Calibri" w:eastAsia="Calibri" w:hAnsi="Calibri"/>
          <w:b/>
          <w:bCs/>
          <w:color w:val="FBBF24"/>
          <w:sz w:val="28"/>
          <w:szCs w:val="28"/>
        </w:rPr>
        <w:t xml:space="preserve">1. Purpose and Scope</w:t>
      </w:r>
    </w:p>
    <w:p>
      <w:pPr>
        <w:spacing w:before="0" w:after="60"/>
      </w:pPr>
      <w:r>
        <w:rPr>
          <w:rFonts w:ascii="Calibri" w:cs="Calibri" w:eastAsia="Calibri" w:hAnsi="Calibri"/>
          <w:sz w:val="22"/>
          <w:szCs w:val="22"/>
        </w:rPr>
        <w:t xml:space="preserve"/>
      </w:r>
    </w:p>
    <w:p>
      <w:pPr>
        <w:spacing w:before="0" w:after="140"/>
      </w:pPr>
      <w:r>
        <w:rPr>
          <w:rFonts w:ascii="Calibri" w:cs="Calibri" w:eastAsia="Calibri" w:hAnsi="Calibri"/>
          <w:color w:val="333333"/>
          <w:sz w:val="22"/>
          <w:szCs w:val="22"/>
        </w:rPr>
        <w:t xml:space="preserve">This document defines the MVP scope, acceptance criteria, and sprint plan for Canary LP's Square Marketplace submission. It is a working engineering contract: every feature listed here has a defined owner, testable acceptance criteria, and a gate that must pass before the feature is considered done.</w:t>
      </w:r>
    </w:p>
    <w:p>
      <w:pPr>
        <w:spacing w:before="0" w:after="60"/>
      </w:pPr>
      <w:r>
        <w:rPr>
          <w:rFonts w:ascii="Calibri" w:cs="Calibri" w:eastAsia="Calibri" w:hAnsi="Calibri"/>
          <w:sz w:val="22"/>
          <w:szCs w:val="22"/>
        </w:rPr>
        <w:t xml:space="preserve"/>
      </w:r>
    </w:p>
    <w:p>
      <w:pPr>
        <w:spacing w:before="0" w:after="140"/>
      </w:pPr>
      <w:r>
        <w:rPr>
          <w:rFonts w:ascii="Calibri" w:cs="Calibri" w:eastAsia="Calibri" w:hAnsi="Calibri"/>
          <w:color w:val="333333"/>
          <w:sz w:val="22"/>
          <w:szCs w:val="22"/>
        </w:rPr>
        <w:t xml:space="preserve">The MVP is the minimum set of working software that earns Canary a Square Marketplace listing and delivers meaningful value to its first paying merchants. It is not a prototype. It is a production-grade, security-reviewed application that meets Square's technical and content standards.</w:t>
      </w:r>
    </w:p>
    <w:p>
      <w:pPr>
        <w:spacing w:before="0" w:after="60"/>
      </w:pPr>
      <w:r>
        <w:rPr>
          <w:rFonts w:ascii="Calibri" w:cs="Calibri" w:eastAsia="Calibri" w:hAnsi="Calibri"/>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FBBF24" w:sz="16"/>
              <w:bottom w:val="none" w:color="FFFFFF" w:sz="0"/>
              <w:right w:val="none" w:color="FFFFFF" w:sz="0"/>
            </w:tcBorders>
            <w:shd w:fill="FFFBEB" w:val="clear"/>
            <w:tcMar>
              <w:top w:type="dxa" w:w="120"/>
              <w:left w:type="dxa" w:w="200"/>
              <w:bottom w:type="dxa" w:w="120"/>
              <w:right w:type="dxa" w:w="160"/>
            </w:tcMar>
          </w:tcPr>
          <w:p>
            <w:pPr>
              <w:spacing w:before="0" w:after="60"/>
            </w:pPr>
            <w:r>
              <w:rPr>
                <w:rFonts w:ascii="Calibri" w:cs="Calibri" w:eastAsia="Calibri" w:hAnsi="Calibri"/>
                <w:b/>
                <w:bCs/>
                <w:color w:val="92400E"/>
                <w:sz w:val="20"/>
                <w:szCs w:val="20"/>
              </w:rPr>
              <w:t xml:space="preserve">Scope is Locked</w:t>
            </w:r>
          </w:p>
          <w:p>
            <w:pPr>
              <w:spacing w:before="0" w:after="0"/>
            </w:pPr>
            <w:r>
              <w:rPr>
                <w:rFonts w:ascii="Calibri" w:cs="Calibri" w:eastAsia="Calibri" w:hAnsi="Calibri"/>
                <w:color w:val="78350F"/>
                <w:sz w:val="20"/>
                <w:szCs w:val="20"/>
              </w:rPr>
              <w:t xml:space="preserve">The MVP boundary defined in this document does not change without a joint decision by the Founder and the delivery team. Every idea that does not fit within this boundary is logged in the Scope Parking Lot (Section 7) and scheduled for a future sprint. Good ideas that arrive out of sequence are not ignored — they are parked and planned.</w:t>
            </w:r>
          </w:p>
        </w:tc>
      </w:tr>
    </w:tbl>
    <w:p>
      <w:pPr>
        <w:spacing w:before="0" w:after="120"/>
      </w:pPr>
      <w:r>
        <w:rPr>
          <w:rFonts w:ascii="Calibri" w:cs="Calibri" w:eastAsia="Calibri" w:hAnsi="Calibri"/>
          <w:sz w:val="22"/>
          <w:szCs w:val="22"/>
        </w:rPr>
        <w:t xml:space="preserve"/>
      </w:r>
    </w:p>
    <w:p>
      <w:pPr>
        <w:pageBreakBefore/>
      </w:pPr>
      <w:r>
        <w:t xml:space="preserve"/>
      </w:r>
    </w:p>
    <w:p>
      <w:pPr>
        <w:pStyle w:val="Heading1"/>
        <w:keepNext/>
        <w:pBdr>
          <w:bottom w:val="single" w:color="FBBF24" w:sz="6" w:space="4"/>
        </w:pBdr>
        <w:spacing w:before="400" w:after="120"/>
      </w:pPr>
      <w:r>
        <w:rPr>
          <w:rFonts w:ascii="Calibri" w:cs="Calibri" w:eastAsia="Calibri" w:hAnsi="Calibri"/>
          <w:b/>
          <w:bCs/>
          <w:color w:val="FBBF24"/>
          <w:sz w:val="28"/>
          <w:szCs w:val="28"/>
        </w:rPr>
        <w:t xml:space="preserve">2. MVP Definition</w:t>
      </w:r>
    </w:p>
    <w:p>
      <w:pPr>
        <w:spacing w:before="0" w:after="60"/>
      </w:pPr>
      <w:r>
        <w:rPr>
          <w:rFonts w:ascii="Calibri" w:cs="Calibri" w:eastAsia="Calibri" w:hAnsi="Calibri"/>
          <w:sz w:val="22"/>
          <w:szCs w:val="22"/>
        </w:rPr>
        <w:t xml:space="preserve"/>
      </w:r>
    </w:p>
    <w:p>
      <w:pPr>
        <w:spacing w:before="0" w:after="140"/>
      </w:pPr>
      <w:r>
        <w:rPr>
          <w:rFonts w:ascii="Calibri" w:cs="Calibri" w:eastAsia="Calibri" w:hAnsi="Calibri"/>
          <w:color w:val="333333"/>
          <w:sz w:val="22"/>
          <w:szCs w:val="22"/>
        </w:rPr>
        <w:t xml:space="preserve">The Canary MVP consists of four Epics. Each Epic represents a distinct layer of the product: the technical foundation, the core detection engine, the Square certification gate, and the initial case management workflow. All four must be complete before Canary submits to the Square App Marketplace.</w:t>
      </w:r>
    </w:p>
    <w:p>
      <w:pPr>
        <w:spacing w:before="0" w:after="60"/>
      </w:pPr>
      <w:r>
        <w:rPr>
          <w:rFonts w:ascii="Calibri" w:cs="Calibri" w:eastAsia="Calibri" w:hAnsi="Calibri"/>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600"/>
        <w:gridCol w:w="2440"/>
      </w:tblGrid>
      <w:tr>
        <w:trPr>
          <w:tblHeader/>
        </w:trPr>
        <w:tc>
          <w:tcPr>
            <w:tcW w:type="dxa" w:w="14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Epic</w:t>
            </w:r>
          </w:p>
        </w:tc>
        <w:tc>
          <w:tcPr>
            <w:tcW w:type="dxa" w:w="32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Name</w:t>
            </w:r>
          </w:p>
        </w:tc>
        <w:tc>
          <w:tcPr>
            <w:tcW w:type="dxa" w:w="16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Status</w:t>
            </w:r>
          </w:p>
        </w:tc>
        <w:tc>
          <w:tcPr>
            <w:tcW w:type="dxa" w:w="244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MVP Role</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E0</w:t>
            </w:r>
          </w:p>
        </w:tc>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Platform Foundation</w:t>
            </w:r>
          </w:p>
        </w:tc>
        <w:tc>
          <w:tcPr>
            <w:tcW w:type="dxa" w:w="1600"/>
            <w:tcBorders>
              <w:top w:val="single" w:color="FCD34D" w:sz="4"/>
              <w:left w:val="single" w:color="FCD34D" w:sz="4"/>
              <w:bottom w:val="single" w:color="FCD34D" w:sz="4"/>
              <w:right w:val="single" w:color="FCD34D" w:sz="4"/>
            </w:tcBorders>
            <w:shd w:fill="FFFBEB" w:val="clear"/>
            <w:tcMar>
              <w:top w:type="dxa" w:w="80"/>
              <w:left w:type="dxa" w:w="160"/>
              <w:bottom w:type="dxa" w:w="80"/>
              <w:right w:type="dxa" w:w="160"/>
            </w:tcMar>
            <w:vAlign w:val="center"/>
          </w:tcPr>
          <w:p>
            <w:pPr>
              <w:jc w:val="center"/>
            </w:pPr>
            <w:r>
              <w:rPr>
                <w:rFonts w:ascii="Calibri" w:cs="Calibri" w:eastAsia="Calibri" w:hAnsi="Calibri"/>
                <w:b/>
                <w:bCs/>
                <w:color w:val="92400E"/>
                <w:sz w:val="20"/>
                <w:szCs w:val="20"/>
              </w:rPr>
              <w:t xml:space="preserve">In Progress</w:t>
            </w:r>
          </w:p>
        </w:tc>
        <w:tc>
          <w:tcPr>
            <w:tcW w:type="dxa" w:w="24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The factory floor. Nothing else runs without this.</w:t>
            </w:r>
          </w:p>
        </w:tc>
      </w:tr>
      <w:tr>
        <w:tc>
          <w:tcPr>
            <w:tcW w:type="dxa" w:w="1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E1</w:t>
            </w:r>
          </w:p>
        </w:tc>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Core Fraud Detection — Chirp Engine</w:t>
            </w:r>
          </w:p>
        </w:tc>
        <w:tc>
          <w:tcPr>
            <w:tcW w:type="dxa" w:w="1600"/>
            <w:tcBorders>
              <w:top w:val="single" w:color="FCD34D" w:sz="4"/>
              <w:left w:val="single" w:color="FCD34D" w:sz="4"/>
              <w:bottom w:val="single" w:color="FCD34D" w:sz="4"/>
              <w:right w:val="single" w:color="FCD34D" w:sz="4"/>
            </w:tcBorders>
            <w:shd w:fill="FFFBEB" w:val="clear"/>
            <w:tcMar>
              <w:top w:type="dxa" w:w="80"/>
              <w:left w:type="dxa" w:w="160"/>
              <w:bottom w:type="dxa" w:w="80"/>
              <w:right w:type="dxa" w:w="160"/>
            </w:tcMar>
            <w:vAlign w:val="center"/>
          </w:tcPr>
          <w:p>
            <w:pPr>
              <w:jc w:val="center"/>
            </w:pPr>
            <w:r>
              <w:rPr>
                <w:rFonts w:ascii="Calibri" w:cs="Calibri" w:eastAsia="Calibri" w:hAnsi="Calibri"/>
                <w:b/>
                <w:bCs/>
                <w:color w:val="92400E"/>
                <w:sz w:val="20"/>
                <w:szCs w:val="20"/>
              </w:rPr>
              <w:t xml:space="preserve">In Progress</w:t>
            </w:r>
          </w:p>
        </w:tc>
        <w:tc>
          <w:tcPr>
            <w:tcW w:type="dxa" w:w="24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The product. Real-time detection, alerts, merchant dashboard.</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E2</w:t>
            </w:r>
          </w:p>
        </w:tc>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Square Marketplace Certification</w:t>
            </w:r>
          </w:p>
        </w:tc>
        <w:tc>
          <w:tcPr>
            <w:tcW w:type="dxa" w:w="1600"/>
            <w:tcBorders>
              <w:top w:val="single" w:color="FCA5A5" w:sz="4"/>
              <w:left w:val="single" w:color="FCA5A5" w:sz="4"/>
              <w:bottom w:val="single" w:color="FCA5A5" w:sz="4"/>
              <w:right w:val="single" w:color="FCA5A5" w:sz="4"/>
            </w:tcBorders>
            <w:shd w:fill="FEF2F2" w:val="clear"/>
            <w:tcMar>
              <w:top w:type="dxa" w:w="80"/>
              <w:left w:type="dxa" w:w="160"/>
              <w:bottom w:type="dxa" w:w="80"/>
              <w:right w:type="dxa" w:w="160"/>
            </w:tcMar>
            <w:vAlign w:val="center"/>
          </w:tcPr>
          <w:p>
            <w:pPr>
              <w:jc w:val="center"/>
            </w:pPr>
            <w:r>
              <w:rPr>
                <w:rFonts w:ascii="Calibri" w:cs="Calibri" w:eastAsia="Calibri" w:hAnsi="Calibri"/>
                <w:b/>
                <w:bCs/>
                <w:color w:val="991B1B"/>
                <w:sz w:val="20"/>
                <w:szCs w:val="20"/>
              </w:rPr>
              <w:t xml:space="preserve">Not Started</w:t>
            </w:r>
          </w:p>
        </w:tc>
        <w:tc>
          <w:tcPr>
            <w:tcW w:type="dxa" w:w="24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The business gate. Without this, Canary cannot be distributed.</w:t>
            </w:r>
          </w:p>
        </w:tc>
      </w:tr>
      <w:tr>
        <w:trPr>
          <w:cantSplit/>
        </w:trPr>
        <w:tc>
          <w:tcPr>
            <w:tcW w:type="dxa" w:w="1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E3</w:t>
            </w:r>
          </w:p>
        </w:tc>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Fox — Case Management Sprint 1</w:t>
            </w:r>
          </w:p>
        </w:tc>
        <w:tc>
          <w:tcPr>
            <w:tcW w:type="dxa" w:w="1600"/>
            <w:tcBorders>
              <w:top w:val="single" w:color="6EE7B7" w:sz="4"/>
              <w:left w:val="single" w:color="6EE7B7" w:sz="4"/>
              <w:bottom w:val="single" w:color="6EE7B7" w:sz="4"/>
              <w:right w:val="single" w:color="6EE7B7" w:sz="4"/>
            </w:tcBorders>
            <w:shd w:fill="ECFDF5" w:val="clear"/>
            <w:tcMar>
              <w:top w:type="dxa" w:w="80"/>
              <w:left w:type="dxa" w:w="160"/>
              <w:bottom w:type="dxa" w:w="80"/>
              <w:right w:type="dxa" w:w="160"/>
            </w:tcMar>
            <w:vAlign w:val="center"/>
          </w:tcPr>
          <w:p>
            <w:pPr>
              <w:jc w:val="center"/>
            </w:pPr>
            <w:r>
              <w:rPr>
                <w:rFonts w:ascii="Calibri" w:cs="Calibri" w:eastAsia="Calibri" w:hAnsi="Calibri"/>
                <w:b/>
                <w:bCs/>
                <w:color w:val="065F46"/>
                <w:sz w:val="20"/>
                <w:szCs w:val="20"/>
              </w:rPr>
              <w:t xml:space="preserve">Substantially Built</w:t>
            </w:r>
          </w:p>
        </w:tc>
        <w:tc>
          <w:tcPr>
            <w:tcW w:type="dxa" w:w="24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Differentiator. Turns an alert into a defensible, documented case.</w:t>
            </w:r>
          </w:p>
        </w:tc>
      </w:tr>
    </w:tbl>
    <w:p>
      <w:pPr>
        <w:spacing w:before="0" w:after="120"/>
      </w:pPr>
      <w:r>
        <w:rPr>
          <w:rFonts w:ascii="Calibri" w:cs="Calibri" w:eastAsia="Calibri" w:hAnsi="Calibri"/>
          <w:sz w:val="22"/>
          <w:szCs w:val="22"/>
        </w:rPr>
        <w:t xml:space="preserve"/>
      </w:r>
    </w:p>
    <w:p>
      <w:pPr>
        <w:pStyle w:val="Heading2"/>
        <w:keepNext/>
        <w:keepLines/>
        <w:spacing w:before="240" w:after="80"/>
      </w:pPr>
      <w:r>
        <w:rPr>
          <w:rFonts w:ascii="Calibri" w:cs="Calibri" w:eastAsia="Calibri" w:hAnsi="Calibri"/>
          <w:b/>
          <w:bCs/>
          <w:color w:val="374151"/>
          <w:sz w:val="22"/>
          <w:szCs w:val="22"/>
        </w:rPr>
        <w:t xml:space="preserve">Current Build Status</w:t>
      </w:r>
    </w:p>
    <w:p>
      <w:pPr>
        <w:spacing w:before="0" w:after="140"/>
      </w:pPr>
      <w:r>
        <w:rPr>
          <w:rFonts w:ascii="Calibri" w:cs="Calibri" w:eastAsia="Calibri" w:hAnsi="Calibri"/>
          <w:color w:val="333333"/>
          <w:sz w:val="22"/>
          <w:szCs w:val="22"/>
        </w:rPr>
        <w:t xml:space="preserve">The codebase has been audited against all 97 MVP acceptance criteria. 27 are fully met, 14 are partially implemented, and 56 are not yet started. The overall MVP completion rate is approximately 28%.</w:t>
      </w:r>
    </w:p>
    <w:p>
      <w:pPr>
        <w:spacing w:before="0" w:after="60"/>
      </w:pPr>
      <w:r>
        <w:rPr>
          <w:rFonts w:ascii="Calibri" w:cs="Calibri" w:eastAsia="Calibri" w:hAnsi="Calibri"/>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gridCol w:w="840"/>
      </w:tblGrid>
      <w:tr>
        <w:trPr>
          <w:tblHeader/>
        </w:trPr>
        <w:tc>
          <w:tcPr>
            <w:tcW w:type="dxa" w:w="14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Epic</w:t>
            </w:r>
          </w:p>
        </w:tc>
        <w:tc>
          <w:tcPr>
            <w:tcW w:type="dxa" w:w="16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AC Total</w:t>
            </w:r>
          </w:p>
        </w:tc>
        <w:tc>
          <w:tcPr>
            <w:tcW w:type="dxa" w:w="16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 Done</w:t>
            </w:r>
          </w:p>
        </w:tc>
        <w:tc>
          <w:tcPr>
            <w:tcW w:type="dxa" w:w="16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 Partial</w:t>
            </w:r>
          </w:p>
        </w:tc>
        <w:tc>
          <w:tcPr>
            <w:tcW w:type="dxa" w:w="16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 Not Done</w:t>
            </w:r>
          </w:p>
        </w:tc>
        <w:tc>
          <w:tcPr>
            <w:tcW w:type="dxa" w:w="84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w:t>
            </w:r>
          </w:p>
        </w:tc>
      </w:tr>
      <w:tr>
        <w:trPr>
          <w:cantSplit/>
        </w:trPr>
        <w:tc>
          <w:tcPr>
            <w:tcW w:type="dxa" w:w="1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E0 Foundation</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23</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065F46"/>
                <w:sz w:val="20"/>
                <w:szCs w:val="20"/>
              </w:rPr>
              <w:t xml:space="preserve">4</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92400E"/>
                <w:sz w:val="20"/>
                <w:szCs w:val="20"/>
              </w:rPr>
              <w:t xml:space="preserve">5</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991B1B"/>
                <w:sz w:val="20"/>
                <w:szCs w:val="20"/>
              </w:rPr>
              <w:t xml:space="preserve">14</w:t>
            </w:r>
          </w:p>
        </w:tc>
        <w:tc>
          <w:tcPr>
            <w:tcW w:type="dxa" w:w="840"/>
            <w:tcBorders>
              <w:top w:val="single" w:color="FCD34D" w:sz="4"/>
              <w:left w:val="single" w:color="FCD34D" w:sz="4"/>
              <w:bottom w:val="single" w:color="FCD34D" w:sz="4"/>
              <w:right w:val="single" w:color="FCD34D" w:sz="4"/>
            </w:tcBorders>
            <w:shd w:fill="FFFBEB" w:val="clear"/>
            <w:tcMar>
              <w:top w:type="dxa" w:w="80"/>
              <w:left w:type="dxa" w:w="160"/>
              <w:bottom w:type="dxa" w:w="80"/>
              <w:right w:type="dxa" w:w="160"/>
            </w:tcMar>
            <w:vAlign w:val="center"/>
          </w:tcPr>
          <w:p>
            <w:pPr>
              <w:jc w:val="center"/>
            </w:pPr>
            <w:r>
              <w:rPr>
                <w:rFonts w:ascii="Calibri" w:cs="Calibri" w:eastAsia="Calibri" w:hAnsi="Calibri"/>
                <w:b/>
                <w:bCs/>
                <w:color w:val="92400E"/>
                <w:sz w:val="20"/>
                <w:szCs w:val="20"/>
              </w:rPr>
              <w:t xml:space="preserve">17%</w:t>
            </w:r>
          </w:p>
        </w:tc>
      </w:tr>
      <w:tr>
        <w:trPr>
          <w:cantSplit/>
        </w:trPr>
        <w:tc>
          <w:tcPr>
            <w:tcW w:type="dxa" w:w="1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E1 Chirp Engine</w:t>
            </w:r>
          </w:p>
        </w:tc>
        <w:tc>
          <w:tcPr>
            <w:tcW w:type="dxa" w:w="1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29</w:t>
            </w:r>
          </w:p>
        </w:tc>
        <w:tc>
          <w:tcPr>
            <w:tcW w:type="dxa" w:w="1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065F46"/>
                <w:sz w:val="20"/>
                <w:szCs w:val="20"/>
              </w:rPr>
              <w:t xml:space="preserve">8</w:t>
            </w:r>
          </w:p>
        </w:tc>
        <w:tc>
          <w:tcPr>
            <w:tcW w:type="dxa" w:w="1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92400E"/>
                <w:sz w:val="20"/>
                <w:szCs w:val="20"/>
              </w:rPr>
              <w:t xml:space="preserve">5</w:t>
            </w:r>
          </w:p>
        </w:tc>
        <w:tc>
          <w:tcPr>
            <w:tcW w:type="dxa" w:w="1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991B1B"/>
                <w:sz w:val="20"/>
                <w:szCs w:val="20"/>
              </w:rPr>
              <w:t xml:space="preserve">16</w:t>
            </w:r>
          </w:p>
        </w:tc>
        <w:tc>
          <w:tcPr>
            <w:tcW w:type="dxa" w:w="840"/>
            <w:tcBorders>
              <w:top w:val="single" w:color="FCD34D" w:sz="4"/>
              <w:left w:val="single" w:color="FCD34D" w:sz="4"/>
              <w:bottom w:val="single" w:color="FCD34D" w:sz="4"/>
              <w:right w:val="single" w:color="FCD34D" w:sz="4"/>
            </w:tcBorders>
            <w:shd w:fill="FFFBEB" w:val="clear"/>
            <w:tcMar>
              <w:top w:type="dxa" w:w="80"/>
              <w:left w:type="dxa" w:w="160"/>
              <w:bottom w:type="dxa" w:w="80"/>
              <w:right w:type="dxa" w:w="160"/>
            </w:tcMar>
            <w:vAlign w:val="center"/>
          </w:tcPr>
          <w:p>
            <w:pPr>
              <w:jc w:val="center"/>
            </w:pPr>
            <w:r>
              <w:rPr>
                <w:rFonts w:ascii="Calibri" w:cs="Calibri" w:eastAsia="Calibri" w:hAnsi="Calibri"/>
                <w:b/>
                <w:bCs/>
                <w:color w:val="92400E"/>
                <w:sz w:val="20"/>
                <w:szCs w:val="20"/>
              </w:rPr>
              <w:t xml:space="preserve">28%</w:t>
            </w:r>
          </w:p>
        </w:tc>
      </w:tr>
      <w:tr>
        <w:trPr>
          <w:cantSplit/>
        </w:trPr>
        <w:tc>
          <w:tcPr>
            <w:tcW w:type="dxa" w:w="1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E2 Certification</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23</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065F46"/>
                <w:sz w:val="20"/>
                <w:szCs w:val="20"/>
              </w:rPr>
              <w:t xml:space="preserve">1</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92400E"/>
                <w:sz w:val="20"/>
                <w:szCs w:val="20"/>
              </w:rPr>
              <w:t xml:space="preserve">1</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991B1B"/>
                <w:sz w:val="20"/>
                <w:szCs w:val="20"/>
              </w:rPr>
              <w:t xml:space="preserve">21</w:t>
            </w:r>
          </w:p>
        </w:tc>
        <w:tc>
          <w:tcPr>
            <w:tcW w:type="dxa" w:w="840"/>
            <w:tcBorders>
              <w:top w:val="single" w:color="FCA5A5" w:sz="4"/>
              <w:left w:val="single" w:color="FCA5A5" w:sz="4"/>
              <w:bottom w:val="single" w:color="FCA5A5" w:sz="4"/>
              <w:right w:val="single" w:color="FCA5A5" w:sz="4"/>
            </w:tcBorders>
            <w:shd w:fill="FEF2F2" w:val="clear"/>
            <w:tcMar>
              <w:top w:type="dxa" w:w="80"/>
              <w:left w:type="dxa" w:w="160"/>
              <w:bottom w:type="dxa" w:w="80"/>
              <w:right w:type="dxa" w:w="160"/>
            </w:tcMar>
            <w:vAlign w:val="center"/>
          </w:tcPr>
          <w:p>
            <w:pPr>
              <w:jc w:val="center"/>
            </w:pPr>
            <w:r>
              <w:rPr>
                <w:rFonts w:ascii="Calibri" w:cs="Calibri" w:eastAsia="Calibri" w:hAnsi="Calibri"/>
                <w:b/>
                <w:bCs/>
                <w:color w:val="991B1B"/>
                <w:sz w:val="20"/>
                <w:szCs w:val="20"/>
              </w:rPr>
              <w:t xml:space="preserve">4%</w:t>
            </w:r>
          </w:p>
        </w:tc>
      </w:tr>
      <w:tr>
        <w:trPr>
          <w:cantSplit/>
        </w:trPr>
        <w:tc>
          <w:tcPr>
            <w:tcW w:type="dxa" w:w="1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E3 Fox</w:t>
            </w:r>
          </w:p>
        </w:tc>
        <w:tc>
          <w:tcPr>
            <w:tcW w:type="dxa" w:w="1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22</w:t>
            </w:r>
          </w:p>
        </w:tc>
        <w:tc>
          <w:tcPr>
            <w:tcW w:type="dxa" w:w="1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065F46"/>
                <w:sz w:val="20"/>
                <w:szCs w:val="20"/>
              </w:rPr>
              <w:t xml:space="preserve">14</w:t>
            </w:r>
          </w:p>
        </w:tc>
        <w:tc>
          <w:tcPr>
            <w:tcW w:type="dxa" w:w="1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92400E"/>
                <w:sz w:val="20"/>
                <w:szCs w:val="20"/>
              </w:rPr>
              <w:t xml:space="preserve">3</w:t>
            </w:r>
          </w:p>
        </w:tc>
        <w:tc>
          <w:tcPr>
            <w:tcW w:type="dxa" w:w="1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991B1B"/>
                <w:sz w:val="20"/>
                <w:szCs w:val="20"/>
              </w:rPr>
              <w:t xml:space="preserve">5</w:t>
            </w:r>
          </w:p>
        </w:tc>
        <w:tc>
          <w:tcPr>
            <w:tcW w:type="dxa" w:w="840"/>
            <w:tcBorders>
              <w:top w:val="single" w:color="6EE7B7" w:sz="4"/>
              <w:left w:val="single" w:color="6EE7B7" w:sz="4"/>
              <w:bottom w:val="single" w:color="6EE7B7" w:sz="4"/>
              <w:right w:val="single" w:color="6EE7B7" w:sz="4"/>
            </w:tcBorders>
            <w:shd w:fill="ECFDF5" w:val="clear"/>
            <w:tcMar>
              <w:top w:type="dxa" w:w="80"/>
              <w:left w:type="dxa" w:w="160"/>
              <w:bottom w:type="dxa" w:w="80"/>
              <w:right w:type="dxa" w:w="160"/>
            </w:tcMar>
            <w:vAlign w:val="center"/>
          </w:tcPr>
          <w:p>
            <w:pPr>
              <w:jc w:val="center"/>
            </w:pPr>
            <w:r>
              <w:rPr>
                <w:rFonts w:ascii="Calibri" w:cs="Calibri" w:eastAsia="Calibri" w:hAnsi="Calibri"/>
                <w:b/>
                <w:bCs/>
                <w:color w:val="065F46"/>
                <w:sz w:val="20"/>
                <w:szCs w:val="20"/>
              </w:rPr>
              <w:t xml:space="preserve">64%</w:t>
            </w:r>
          </w:p>
        </w:tc>
      </w:tr>
      <w:tr>
        <w:trPr>
          <w:cantSplit/>
        </w:trPr>
        <w:tc>
          <w:tcPr>
            <w:tcW w:type="dxa" w:w="1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TOTAL</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97</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065F46"/>
                <w:sz w:val="20"/>
                <w:szCs w:val="20"/>
              </w:rPr>
              <w:t xml:space="preserve">27</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92400E"/>
                <w:sz w:val="20"/>
                <w:szCs w:val="20"/>
              </w:rPr>
              <w:t xml:space="preserve">14</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991B1B"/>
                <w:sz w:val="20"/>
                <w:szCs w:val="20"/>
              </w:rPr>
              <w:t xml:space="preserve">56</w:t>
            </w:r>
          </w:p>
        </w:tc>
        <w:tc>
          <w:tcPr>
            <w:tcW w:type="dxa" w:w="840"/>
            <w:tcBorders>
              <w:top w:val="single" w:color="FCD34D" w:sz="4"/>
              <w:left w:val="single" w:color="FCD34D" w:sz="4"/>
              <w:bottom w:val="single" w:color="FCD34D" w:sz="4"/>
              <w:right w:val="single" w:color="FCD34D" w:sz="4"/>
            </w:tcBorders>
            <w:shd w:fill="FFFBEB" w:val="clear"/>
            <w:tcMar>
              <w:top w:type="dxa" w:w="80"/>
              <w:left w:type="dxa" w:w="160"/>
              <w:bottom w:type="dxa" w:w="80"/>
              <w:right w:type="dxa" w:w="160"/>
            </w:tcMar>
            <w:vAlign w:val="center"/>
          </w:tcPr>
          <w:p>
            <w:pPr>
              <w:jc w:val="center"/>
            </w:pPr>
            <w:r>
              <w:rPr>
                <w:rFonts w:ascii="Calibri" w:cs="Calibri" w:eastAsia="Calibri" w:hAnsi="Calibri"/>
                <w:b/>
                <w:bCs/>
                <w:color w:val="92400E"/>
                <w:sz w:val="20"/>
                <w:szCs w:val="20"/>
              </w:rPr>
              <w:t xml:space="preserve">~28%</w:t>
            </w:r>
          </w:p>
        </w:tc>
      </w:tr>
    </w:tbl>
    <w:p>
      <w:pPr>
        <w:spacing w:before="0" w:after="60"/>
      </w:pPr>
      <w:r>
        <w:rPr>
          <w:rFonts w:ascii="Calibri" w:cs="Calibri" w:eastAsia="Calibri" w:hAnsi="Calibri"/>
          <w:sz w:val="22"/>
          <w:szCs w:val="22"/>
        </w:rPr>
        <w:t xml:space="preserve"/>
      </w:r>
    </w:p>
    <w:p>
      <w:pPr>
        <w:spacing w:before="0" w:after="140"/>
      </w:pPr>
      <w:r>
        <w:rPr>
          <w:rFonts w:ascii="Calibri" w:cs="Calibri" w:eastAsia="Calibri" w:hAnsi="Calibri"/>
          <w:color w:val="333333"/>
          <w:sz w:val="22"/>
          <w:szCs w:val="22"/>
        </w:rPr>
        <w:t xml:space="preserve">Fox (E3) is the furthest along because its data model was designed from production LP standards and implemented with full evidentiary integrity from the start. E2 (Square Certification) is the critical path item — it is 4% complete and is the sole gate to Marketplace listing.</w:t>
      </w:r>
    </w:p>
    <w:p>
      <w:pPr>
        <w:spacing w:before="0" w:after="120"/>
      </w:pPr>
      <w:r>
        <w:rPr>
          <w:rFonts w:ascii="Calibri" w:cs="Calibri" w:eastAsia="Calibri" w:hAnsi="Calibri"/>
          <w:sz w:val="22"/>
          <w:szCs w:val="22"/>
        </w:rPr>
        <w:t xml:space="preserve"/>
      </w:r>
    </w:p>
    <w:p>
      <w:pPr>
        <w:pStyle w:val="Heading1"/>
        <w:keepNext/>
        <w:pBdr>
          <w:bottom w:val="single" w:color="FBBF24" w:sz="6" w:space="4"/>
        </w:pBdr>
        <w:spacing w:before="400" w:after="120"/>
      </w:pPr>
      <w:r>
        <w:rPr>
          <w:rFonts w:ascii="Calibri" w:cs="Calibri" w:eastAsia="Calibri" w:hAnsi="Calibri"/>
          <w:b/>
          <w:bCs/>
          <w:color w:val="FBBF24"/>
          <w:sz w:val="28"/>
          <w:szCs w:val="28"/>
        </w:rPr>
        <w:t xml:space="preserve">3. Sprint Plan — Path to Marketplace</w:t>
      </w:r>
    </w:p>
    <w:p>
      <w:pPr>
        <w:spacing w:before="0" w:after="60"/>
      </w:pPr>
      <w:r>
        <w:rPr>
          <w:rFonts w:ascii="Calibri" w:cs="Calibri" w:eastAsia="Calibri" w:hAnsi="Calibri"/>
          <w:sz w:val="22"/>
          <w:szCs w:val="22"/>
        </w:rPr>
        <w:t xml:space="preserve"/>
      </w:r>
    </w:p>
    <w:p>
      <w:pPr>
        <w:spacing w:before="0" w:after="140"/>
      </w:pPr>
      <w:r>
        <w:rPr>
          <w:rFonts w:ascii="Calibri" w:cs="Calibri" w:eastAsia="Calibri" w:hAnsi="Calibri"/>
          <w:color w:val="333333"/>
          <w:sz w:val="22"/>
          <w:szCs w:val="22"/>
        </w:rPr>
        <w:t xml:space="preserve">The MVP ships in three sprints plus a pre-sprint foundation phase. Each sprint has a single, measurable goal. A sprint does not close until its goal is met — sprints do not slip their goal, they slip their date if necessary.</w:t>
      </w:r>
    </w:p>
    <w:p>
      <w:pPr>
        <w:spacing w:before="0" w:after="60"/>
      </w:pPr>
      <w:r>
        <w:rPr>
          <w:rFonts w:ascii="Calibri" w:cs="Calibri" w:eastAsia="Calibri" w:hAnsi="Calibri"/>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600"/>
        <w:gridCol w:w="1640"/>
      </w:tblGrid>
      <w:tr>
        <w:trPr>
          <w:tblHeader/>
        </w:trPr>
        <w:tc>
          <w:tcPr>
            <w:tcW w:type="dxa" w:w="20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Sprint</w:t>
            </w:r>
          </w:p>
        </w:tc>
        <w:tc>
          <w:tcPr>
            <w:tcW w:type="dxa" w:w="34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Goal</w:t>
            </w:r>
          </w:p>
        </w:tc>
        <w:tc>
          <w:tcPr>
            <w:tcW w:type="dxa" w:w="16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Target</w:t>
            </w:r>
          </w:p>
        </w:tc>
        <w:tc>
          <w:tcPr>
            <w:tcW w:type="dxa" w:w="164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Gate</w:t>
            </w:r>
          </w:p>
        </w:tc>
      </w:tr>
      <w:tr>
        <w:trPr>
          <w:cantSplit/>
        </w:trP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Pre-Sprint — Foundation</w:t>
            </w:r>
          </w:p>
        </w:tc>
        <w:tc>
          <w:tcPr>
            <w:tcW w:type="dxa" w:w="3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Three-database architecture, RLS, Square OAuth, audit log hash chain — all running in Docker.</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065F46"/>
                <w:sz w:val="20"/>
                <w:szCs w:val="20"/>
              </w:rPr>
              <w:t xml:space="preserve">Active Now</w:t>
            </w:r>
          </w:p>
        </w:tc>
        <w:tc>
          <w:tcPr>
            <w:tcW w:type="dxa" w:w="16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Docker compose up in &lt; 30 min</w:t>
            </w:r>
          </w:p>
        </w:tc>
      </w:tr>
      <w:tr>
        <w:trPr>
          <w:cantSplit/>
        </w:trP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Sprint 1 — Fox + Hardening</w:t>
            </w:r>
          </w:p>
        </w:tc>
        <w:tc>
          <w:tcPr>
            <w:tcW w:type="dxa" w:w="3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Fox Case Management Sprint 1 complete. Chirp webhook HMAC and card fingerprint detection hardened.</w:t>
            </w:r>
          </w:p>
        </w:tc>
        <w:tc>
          <w:tcPr>
            <w:tcW w:type="dxa" w:w="1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1E40AF"/>
                <w:sz w:val="20"/>
                <w:szCs w:val="20"/>
              </w:rPr>
              <w:t xml:space="preserve">Week of Feb 17</w:t>
            </w:r>
          </w:p>
        </w:tc>
        <w:tc>
          <w:tcPr>
            <w:tcW w:type="dxa" w:w="16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All E3 AC passing; HMAC verified</w:t>
            </w:r>
          </w:p>
        </w:tc>
      </w:tr>
      <w:tr>
        <w:trPr>
          <w:cantSplit/>
        </w:trP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Sprint 2 — Certification</w:t>
            </w:r>
          </w:p>
        </w:tc>
        <w:tc>
          <w:tcPr>
            <w:tcW w:type="dxa" w:w="3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All Square security requirements met. Application deployed to AWS production. Sandbox E2E test suite passing.</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1E40AF"/>
                <w:sz w:val="20"/>
                <w:szCs w:val="20"/>
              </w:rPr>
              <w:t xml:space="preserve">Week of Feb 24</w:t>
            </w:r>
          </w:p>
        </w:tc>
        <w:tc>
          <w:tcPr>
            <w:tcW w:type="dxa" w:w="16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E2 AC complete; HTTPS live</w:t>
            </w:r>
          </w:p>
        </w:tc>
      </w:tr>
      <w:tr>
        <w:trPr>
          <w:cantSplit/>
        </w:trP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Sprint 3 — Submission</w:t>
            </w:r>
          </w:p>
        </w:tc>
        <w:tc>
          <w:tcPr>
            <w:tcW w:type="dxa" w:w="3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Marketplace listing written, privacy policy and ToS live, 5 beta merchants confirmed, submission filed.</w:t>
            </w:r>
          </w:p>
        </w:tc>
        <w:tc>
          <w:tcPr>
            <w:tcW w:type="dxa" w:w="16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1E40AF"/>
                <w:sz w:val="20"/>
                <w:szCs w:val="20"/>
              </w:rPr>
              <w:t xml:space="preserve">Week of Mar 2</w:t>
            </w:r>
          </w:p>
        </w:tc>
        <w:tc>
          <w:tcPr>
            <w:tcW w:type="dxa" w:w="16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Submission filed with Square</w:t>
            </w:r>
          </w:p>
        </w:tc>
      </w:tr>
      <w:tr>
        <w:trPr>
          <w:cantSplit/>
        </w:trP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Post-MVP — Phase 2+</w:t>
            </w:r>
          </w:p>
        </w:tc>
        <w:tc>
          <w:tcPr>
            <w:tcW w:type="dxa" w:w="3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Goose (Bitcoin &amp; Lightning), Owl (Analytics), Fox Sprint 2 (Ordinal minting), Clover integration. Scheduled after Square approval.</w:t>
            </w:r>
          </w:p>
        </w:tc>
        <w:tc>
          <w:tcPr>
            <w:tcW w:type="dxa" w:w="16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4B5563"/>
                <w:sz w:val="20"/>
                <w:szCs w:val="20"/>
              </w:rPr>
              <w:t xml:space="preserve">Q2 2026</w:t>
            </w:r>
          </w:p>
        </w:tc>
        <w:tc>
          <w:tcPr>
            <w:tcW w:type="dxa" w:w="16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Square approval received</w:t>
            </w:r>
          </w:p>
        </w:tc>
      </w:tr>
    </w:tbl>
    <w:p>
      <w:pPr>
        <w:spacing w:before="0" w:after="120"/>
      </w:pPr>
      <w:r>
        <w:rPr>
          <w:rFonts w:ascii="Calibri" w:cs="Calibri" w:eastAsia="Calibri" w:hAnsi="Calibri"/>
          <w:sz w:val="22"/>
          <w:szCs w:val="22"/>
        </w:rPr>
        <w:t xml:space="preserve"/>
      </w:r>
    </w:p>
    <w:p>
      <w:pPr>
        <w:pStyle w:val="Heading1"/>
        <w:keepNext/>
        <w:pBdr>
          <w:bottom w:val="single" w:color="FBBF24" w:sz="6" w:space="4"/>
        </w:pBdr>
        <w:spacing w:before="400" w:after="120"/>
      </w:pPr>
      <w:r>
        <w:rPr>
          <w:rFonts w:ascii="Calibri" w:cs="Calibri" w:eastAsia="Calibri" w:hAnsi="Calibri"/>
          <w:b/>
          <w:bCs/>
          <w:color w:val="FBBF24"/>
          <w:sz w:val="28"/>
          <w:szCs w:val="28"/>
        </w:rPr>
        <w:t xml:space="preserve">4. MVP Feature Detail</w:t>
      </w:r>
    </w:p>
    <w:p>
      <w:pPr>
        <w:spacing w:before="0" w:after="60"/>
      </w:pPr>
      <w:r>
        <w:rPr>
          <w:rFonts w:ascii="Calibri" w:cs="Calibri" w:eastAsia="Calibri" w:hAnsi="Calibri"/>
          <w:sz w:val="22"/>
          <w:szCs w:val="22"/>
        </w:rPr>
        <w:t xml:space="preserve"/>
      </w:r>
    </w:p>
    <w:p>
      <w:pPr>
        <w:spacing w:before="0" w:after="140"/>
      </w:pPr>
      <w:r>
        <w:rPr>
          <w:rFonts w:ascii="Calibri" w:cs="Calibri" w:eastAsia="Calibri" w:hAnsi="Calibri"/>
          <w:color w:val="333333"/>
          <w:sz w:val="22"/>
          <w:szCs w:val="22"/>
        </w:rPr>
        <w:t xml:space="preserve">Each MVP feature is listed below with its acceptance gate — the specific, testable condition that marks it complete. Features are grouped by Epic. No feature ships without its gate passing.</w:t>
      </w:r>
    </w:p>
    <w:p>
      <w:pPr>
        <w:spacing w:before="0" w:after="60"/>
      </w:pPr>
      <w:r>
        <w:rPr>
          <w:rFonts w:ascii="Calibri" w:cs="Calibri" w:eastAsia="Calibri" w:hAnsi="Calibri"/>
          <w:sz w:val="22"/>
          <w:szCs w:val="22"/>
        </w:rPr>
        <w:t xml:space="preserve"/>
      </w:r>
    </w:p>
    <w:p>
      <w:pPr>
        <w:pStyle w:val="Heading2"/>
        <w:keepNext/>
        <w:keepLines/>
        <w:spacing w:before="240" w:after="80"/>
      </w:pPr>
      <w:r>
        <w:rPr>
          <w:rFonts w:ascii="Calibri" w:cs="Calibri" w:eastAsia="Calibri" w:hAnsi="Calibri"/>
          <w:b/>
          <w:bCs/>
          <w:color w:val="374151"/>
          <w:sz w:val="22"/>
          <w:szCs w:val="22"/>
        </w:rPr>
        <w:t xml:space="preserve">Epic E0 — Platform Foundation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3140"/>
      </w:tblGrid>
      <w:tr>
        <w:trPr>
          <w:tblHeader/>
        </w:trPr>
        <w:tc>
          <w:tcPr>
            <w:tcW w:type="dxa" w:w="9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ID</w:t>
            </w:r>
          </w:p>
        </w:tc>
        <w:tc>
          <w:tcPr>
            <w:tcW w:type="dxa" w:w="28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Feature</w:t>
            </w:r>
          </w:p>
        </w:tc>
        <w:tc>
          <w:tcPr>
            <w:tcW w:type="dxa" w:w="18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Status</w:t>
            </w:r>
          </w:p>
        </w:tc>
        <w:tc>
          <w:tcPr>
            <w:tcW w:type="dxa" w:w="314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Acceptance Gate</w:t>
            </w:r>
          </w:p>
        </w:tc>
      </w:tr>
      <w:tr>
        <w:trPr>
          <w:cantSplit/>
        </w:trPr>
        <w:tc>
          <w:tcPr>
            <w:tcW w:type="dxa" w:w="9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E0-F1</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Three-Database Architecture</w:t>
            </w:r>
          </w:p>
        </w:tc>
        <w:tc>
          <w:tcPr>
            <w:tcW w:type="dxa" w:w="1800"/>
            <w:tcBorders>
              <w:top w:val="single" w:color="FCA5A5" w:sz="4"/>
              <w:left w:val="single" w:color="FCA5A5" w:sz="4"/>
              <w:bottom w:val="single" w:color="FCA5A5" w:sz="4"/>
              <w:right w:val="single" w:color="FCA5A5" w:sz="4"/>
            </w:tcBorders>
            <w:shd w:fill="FEF2F2" w:val="clear"/>
            <w:tcMar>
              <w:top w:type="dxa" w:w="80"/>
              <w:left w:type="dxa" w:w="160"/>
              <w:bottom w:type="dxa" w:w="80"/>
              <w:right w:type="dxa" w:w="160"/>
            </w:tcMar>
            <w:vAlign w:val="center"/>
          </w:tcPr>
          <w:p>
            <w:pPr>
              <w:jc w:val="center"/>
            </w:pPr>
            <w:r>
              <w:rPr>
                <w:rFonts w:ascii="Calibri" w:cs="Calibri" w:eastAsia="Calibri" w:hAnsi="Calibri"/>
                <w:b/>
                <w:bCs/>
                <w:color w:val="991B1B"/>
                <w:sz w:val="20"/>
                <w:szCs w:val="20"/>
              </w:rPr>
              <w:t xml:space="preserve">Not Done</w:t>
            </w:r>
          </w:p>
        </w:tc>
        <w:tc>
          <w:tcPr>
            <w:tcW w:type="dxa" w:w="31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Three separate databases provisioned and running in Docker with connection tests passing on compose up.</w:t>
            </w:r>
          </w:p>
        </w:tc>
      </w:tr>
      <w:tr>
        <w:trPr>
          <w:cantSplit/>
        </w:trPr>
        <w:tc>
          <w:tcPr>
            <w:tcW w:type="dxa" w:w="9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E0-F2</w:t>
            </w:r>
          </w:p>
        </w:tc>
        <w:tc>
          <w:tcPr>
            <w:tcW w:type="dxa" w:w="2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Multi-Tenant Row-Level Security</w:t>
            </w:r>
          </w:p>
        </w:tc>
        <w:tc>
          <w:tcPr>
            <w:tcW w:type="dxa" w:w="1800"/>
            <w:tcBorders>
              <w:top w:val="single" w:color="FCA5A5" w:sz="4"/>
              <w:left w:val="single" w:color="FCA5A5" w:sz="4"/>
              <w:bottom w:val="single" w:color="FCA5A5" w:sz="4"/>
              <w:right w:val="single" w:color="FCA5A5" w:sz="4"/>
            </w:tcBorders>
            <w:shd w:fill="FEF2F2" w:val="clear"/>
            <w:tcMar>
              <w:top w:type="dxa" w:w="80"/>
              <w:left w:type="dxa" w:w="160"/>
              <w:bottom w:type="dxa" w:w="80"/>
              <w:right w:type="dxa" w:w="160"/>
            </w:tcMar>
            <w:vAlign w:val="center"/>
          </w:tcPr>
          <w:p>
            <w:pPr>
              <w:jc w:val="center"/>
            </w:pPr>
            <w:r>
              <w:rPr>
                <w:rFonts w:ascii="Calibri" w:cs="Calibri" w:eastAsia="Calibri" w:hAnsi="Calibri"/>
                <w:b/>
                <w:bCs/>
                <w:color w:val="991B1B"/>
                <w:sz w:val="20"/>
                <w:szCs w:val="20"/>
              </w:rPr>
              <w:t xml:space="preserve">Not Done</w:t>
            </w:r>
          </w:p>
        </w:tc>
        <w:tc>
          <w:tcPr>
            <w:tcW w:type="dxa" w:w="31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Integration test confirms Merchant A cannot read Merchant B's data even with a direct DB query when session is scoped to Merchant A.</w:t>
            </w:r>
          </w:p>
        </w:tc>
      </w:tr>
      <w:tr>
        <w:trPr>
          <w:cantSplit/>
        </w:trPr>
        <w:tc>
          <w:tcPr>
            <w:tcW w:type="dxa" w:w="9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E0-F3</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Square OAuth Integration</w:t>
            </w:r>
          </w:p>
        </w:tc>
        <w:tc>
          <w:tcPr>
            <w:tcW w:type="dxa" w:w="1800"/>
            <w:tcBorders>
              <w:top w:val="single" w:color="FCD34D" w:sz="4"/>
              <w:left w:val="single" w:color="FCD34D" w:sz="4"/>
              <w:bottom w:val="single" w:color="FCD34D" w:sz="4"/>
              <w:right w:val="single" w:color="FCD34D" w:sz="4"/>
            </w:tcBorders>
            <w:shd w:fill="FFFBEB" w:val="clear"/>
            <w:tcMar>
              <w:top w:type="dxa" w:w="80"/>
              <w:left w:type="dxa" w:w="160"/>
              <w:bottom w:type="dxa" w:w="80"/>
              <w:right w:type="dxa" w:w="160"/>
            </w:tcMar>
            <w:vAlign w:val="center"/>
          </w:tcPr>
          <w:p>
            <w:pPr>
              <w:jc w:val="center"/>
            </w:pPr>
            <w:r>
              <w:rPr>
                <w:rFonts w:ascii="Calibri" w:cs="Calibri" w:eastAsia="Calibri" w:hAnsi="Calibri"/>
                <w:b/>
                <w:bCs/>
                <w:color w:val="92400E"/>
                <w:sz w:val="20"/>
                <w:szCs w:val="20"/>
              </w:rPr>
              <w:t xml:space="preserve">Partial</w:t>
            </w:r>
          </w:p>
        </w:tc>
        <w:tc>
          <w:tcPr>
            <w:tcW w:type="dxa" w:w="31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Full OAuth flow works in sandbox. Access token and refresh token stored AES-256 encrypted. All required scopes present.</w:t>
            </w:r>
          </w:p>
        </w:tc>
      </w:tr>
      <w:tr>
        <w:trPr>
          <w:cantSplit/>
        </w:trPr>
        <w:tc>
          <w:tcPr>
            <w:tcW w:type="dxa" w:w="9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E0-F4</w:t>
            </w:r>
          </w:p>
        </w:tc>
        <w:tc>
          <w:tcPr>
            <w:tcW w:type="dxa" w:w="2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Authentication &amp; RBAC</w:t>
            </w:r>
          </w:p>
        </w:tc>
        <w:tc>
          <w:tcPr>
            <w:tcW w:type="dxa" w:w="1800"/>
            <w:tcBorders>
              <w:top w:val="single" w:color="FCD34D" w:sz="4"/>
              <w:left w:val="single" w:color="FCD34D" w:sz="4"/>
              <w:bottom w:val="single" w:color="FCD34D" w:sz="4"/>
              <w:right w:val="single" w:color="FCD34D" w:sz="4"/>
            </w:tcBorders>
            <w:shd w:fill="FFFBEB" w:val="clear"/>
            <w:tcMar>
              <w:top w:type="dxa" w:w="80"/>
              <w:left w:type="dxa" w:w="160"/>
              <w:bottom w:type="dxa" w:w="80"/>
              <w:right w:type="dxa" w:w="160"/>
            </w:tcMar>
            <w:vAlign w:val="center"/>
          </w:tcPr>
          <w:p>
            <w:pPr>
              <w:jc w:val="center"/>
            </w:pPr>
            <w:r>
              <w:rPr>
                <w:rFonts w:ascii="Calibri" w:cs="Calibri" w:eastAsia="Calibri" w:hAnsi="Calibri"/>
                <w:b/>
                <w:bCs/>
                <w:color w:val="92400E"/>
                <w:sz w:val="20"/>
                <w:szCs w:val="20"/>
              </w:rPr>
              <w:t xml:space="preserve">Partial</w:t>
            </w:r>
          </w:p>
        </w:tc>
        <w:tc>
          <w:tcPr>
            <w:tcW w:type="dxa" w:w="31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Five roles enforced at API layer. Permission checks on every route. Login failures logged to audit_log.</w:t>
            </w:r>
          </w:p>
        </w:tc>
      </w:tr>
      <w:tr>
        <w:trPr>
          <w:cantSplit/>
        </w:trPr>
        <w:tc>
          <w:tcPr>
            <w:tcW w:type="dxa" w:w="9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E0-F5</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Immutable Audit Log</w:t>
            </w:r>
          </w:p>
        </w:tc>
        <w:tc>
          <w:tcPr>
            <w:tcW w:type="dxa" w:w="1800"/>
            <w:tcBorders>
              <w:top w:val="single" w:color="FCD34D" w:sz="4"/>
              <w:left w:val="single" w:color="FCD34D" w:sz="4"/>
              <w:bottom w:val="single" w:color="FCD34D" w:sz="4"/>
              <w:right w:val="single" w:color="FCD34D" w:sz="4"/>
            </w:tcBorders>
            <w:shd w:fill="FFFBEB" w:val="clear"/>
            <w:tcMar>
              <w:top w:type="dxa" w:w="80"/>
              <w:left w:type="dxa" w:w="160"/>
              <w:bottom w:type="dxa" w:w="80"/>
              <w:right w:type="dxa" w:w="160"/>
            </w:tcMar>
            <w:vAlign w:val="center"/>
          </w:tcPr>
          <w:p>
            <w:pPr>
              <w:jc w:val="center"/>
            </w:pPr>
            <w:r>
              <w:rPr>
                <w:rFonts w:ascii="Calibri" w:cs="Calibri" w:eastAsia="Calibri" w:hAnsi="Calibri"/>
                <w:b/>
                <w:bCs/>
                <w:color w:val="92400E"/>
                <w:sz w:val="20"/>
                <w:szCs w:val="20"/>
              </w:rPr>
              <w:t xml:space="preserve">Partial</w:t>
            </w:r>
          </w:p>
        </w:tc>
        <w:tc>
          <w:tcPr>
            <w:tcW w:type="dxa" w:w="31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audit_log table is INSERT-only enforced by trigger. Hash chain implemented: each record's hash includes prior record hash.</w:t>
            </w:r>
          </w:p>
        </w:tc>
      </w:tr>
    </w:tbl>
    <w:p>
      <w:pPr>
        <w:spacing w:before="0" w:after="120"/>
      </w:pPr>
      <w:r>
        <w:rPr>
          <w:rFonts w:ascii="Calibri" w:cs="Calibri" w:eastAsia="Calibri" w:hAnsi="Calibri"/>
          <w:sz w:val="22"/>
          <w:szCs w:val="22"/>
        </w:rPr>
        <w:t xml:space="preserve"/>
      </w:r>
    </w:p>
    <w:p>
      <w:pPr>
        <w:pStyle w:val="Heading2"/>
        <w:keepNext/>
        <w:keepLines/>
        <w:spacing w:before="240" w:after="80"/>
      </w:pPr>
      <w:r>
        <w:rPr>
          <w:rFonts w:ascii="Calibri" w:cs="Calibri" w:eastAsia="Calibri" w:hAnsi="Calibri"/>
          <w:b/>
          <w:bCs/>
          <w:color w:val="374151"/>
          <w:sz w:val="22"/>
          <w:szCs w:val="22"/>
        </w:rPr>
        <w:t xml:space="preserve">Epic E1 — Chirp: Fraud Detection Engine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3140"/>
      </w:tblGrid>
      <w:tr>
        <w:trPr>
          <w:tblHeader/>
        </w:trPr>
        <w:tc>
          <w:tcPr>
            <w:tcW w:type="dxa" w:w="9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ID</w:t>
            </w:r>
          </w:p>
        </w:tc>
        <w:tc>
          <w:tcPr>
            <w:tcW w:type="dxa" w:w="28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Feature</w:t>
            </w:r>
          </w:p>
        </w:tc>
        <w:tc>
          <w:tcPr>
            <w:tcW w:type="dxa" w:w="18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Status</w:t>
            </w:r>
          </w:p>
        </w:tc>
        <w:tc>
          <w:tcPr>
            <w:tcW w:type="dxa" w:w="314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Acceptance Gate</w:t>
            </w:r>
          </w:p>
        </w:tc>
      </w:tr>
      <w:tr>
        <w:trPr>
          <w:cantSplit/>
        </w:trPr>
        <w:tc>
          <w:tcPr>
            <w:tcW w:type="dxa" w:w="9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E1-F1</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Webhook Ingestion Pipeline</w:t>
            </w:r>
          </w:p>
        </w:tc>
        <w:tc>
          <w:tcPr>
            <w:tcW w:type="dxa" w:w="1800"/>
            <w:tcBorders>
              <w:top w:val="single" w:color="FCD34D" w:sz="4"/>
              <w:left w:val="single" w:color="FCD34D" w:sz="4"/>
              <w:bottom w:val="single" w:color="FCD34D" w:sz="4"/>
              <w:right w:val="single" w:color="FCD34D" w:sz="4"/>
            </w:tcBorders>
            <w:shd w:fill="FFFBEB" w:val="clear"/>
            <w:tcMar>
              <w:top w:type="dxa" w:w="80"/>
              <w:left w:type="dxa" w:w="160"/>
              <w:bottom w:type="dxa" w:w="80"/>
              <w:right w:type="dxa" w:w="160"/>
            </w:tcMar>
            <w:vAlign w:val="center"/>
          </w:tcPr>
          <w:p>
            <w:pPr>
              <w:jc w:val="center"/>
            </w:pPr>
            <w:r>
              <w:rPr>
                <w:rFonts w:ascii="Calibri" w:cs="Calibri" w:eastAsia="Calibri" w:hAnsi="Calibri"/>
                <w:b/>
                <w:bCs/>
                <w:color w:val="92400E"/>
                <w:sz w:val="20"/>
                <w:szCs w:val="20"/>
              </w:rPr>
              <w:t xml:space="preserve">Partial</w:t>
            </w:r>
          </w:p>
        </w:tc>
        <w:tc>
          <w:tcPr>
            <w:tcW w:type="dxa" w:w="31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HMAC-SHA256 signature verification active on every incoming Square webhook. No unverified event processed.</w:t>
            </w:r>
          </w:p>
        </w:tc>
      </w:tr>
      <w:tr>
        <w:trPr>
          <w:cantSplit/>
        </w:trPr>
        <w:tc>
          <w:tcPr>
            <w:tcW w:type="dxa" w:w="9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E1-F2</w:t>
            </w:r>
          </w:p>
        </w:tc>
        <w:tc>
          <w:tcPr>
            <w:tcW w:type="dxa" w:w="2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Chirp Detection Engine</w:t>
            </w:r>
          </w:p>
        </w:tc>
        <w:tc>
          <w:tcPr>
            <w:tcW w:type="dxa" w:w="1800"/>
            <w:tcBorders>
              <w:top w:val="single" w:color="FCD34D" w:sz="4"/>
              <w:left w:val="single" w:color="FCD34D" w:sz="4"/>
              <w:bottom w:val="single" w:color="FCD34D" w:sz="4"/>
              <w:right w:val="single" w:color="FCD34D" w:sz="4"/>
            </w:tcBorders>
            <w:shd w:fill="FFFBEB" w:val="clear"/>
            <w:tcMar>
              <w:top w:type="dxa" w:w="80"/>
              <w:left w:type="dxa" w:w="160"/>
              <w:bottom w:type="dxa" w:w="80"/>
              <w:right w:type="dxa" w:w="160"/>
            </w:tcMar>
            <w:vAlign w:val="center"/>
          </w:tcPr>
          <w:p>
            <w:pPr>
              <w:jc w:val="center"/>
            </w:pPr>
            <w:r>
              <w:rPr>
                <w:rFonts w:ascii="Calibri" w:cs="Calibri" w:eastAsia="Calibri" w:hAnsi="Calibri"/>
                <w:b/>
                <w:bCs/>
                <w:color w:val="92400E"/>
                <w:sz w:val="20"/>
                <w:szCs w:val="20"/>
              </w:rPr>
              <w:t xml:space="preserve">Partial</w:t>
            </w:r>
          </w:p>
        </w:tc>
        <w:tc>
          <w:tcPr>
            <w:tcW w:type="dxa" w:w="31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All four detection rules use card fingerprint (not card last-4) for velocity checks. Rules are configurable per-merchant via DB.</w:t>
            </w:r>
          </w:p>
        </w:tc>
      </w:tr>
      <w:tr>
        <w:trPr>
          <w:cantSplit/>
        </w:trPr>
        <w:tc>
          <w:tcPr>
            <w:tcW w:type="dxa" w:w="9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E1-F3</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Alert Dashboard &amp; SMS</w:t>
            </w:r>
          </w:p>
        </w:tc>
        <w:tc>
          <w:tcPr>
            <w:tcW w:type="dxa" w:w="1800"/>
            <w:tcBorders>
              <w:top w:val="single" w:color="FCD34D" w:sz="4"/>
              <w:left w:val="single" w:color="FCD34D" w:sz="4"/>
              <w:bottom w:val="single" w:color="FCD34D" w:sz="4"/>
              <w:right w:val="single" w:color="FCD34D" w:sz="4"/>
            </w:tcBorders>
            <w:shd w:fill="FFFBEB" w:val="clear"/>
            <w:tcMar>
              <w:top w:type="dxa" w:w="80"/>
              <w:left w:type="dxa" w:w="160"/>
              <w:bottom w:type="dxa" w:w="80"/>
              <w:right w:type="dxa" w:w="160"/>
            </w:tcMar>
            <w:vAlign w:val="center"/>
          </w:tcPr>
          <w:p>
            <w:pPr>
              <w:jc w:val="center"/>
            </w:pPr>
            <w:r>
              <w:rPr>
                <w:rFonts w:ascii="Calibri" w:cs="Calibri" w:eastAsia="Calibri" w:hAnsi="Calibri"/>
                <w:b/>
                <w:bCs/>
                <w:color w:val="92400E"/>
                <w:sz w:val="20"/>
                <w:szCs w:val="20"/>
              </w:rPr>
              <w:t xml:space="preserve">Partial</w:t>
            </w:r>
          </w:p>
        </w:tc>
        <w:tc>
          <w:tcPr>
            <w:tcW w:type="dxa" w:w="31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Full alert status lifecycle (open → acknowledged → investigating → resolved → false_positive). Twilio SMS fires within 30 seconds on HIGH/CRITICAL.</w:t>
            </w:r>
          </w:p>
        </w:tc>
      </w:tr>
      <w:tr>
        <w:trPr>
          <w:cantSplit/>
        </w:trPr>
        <w:tc>
          <w:tcPr>
            <w:tcW w:type="dxa" w:w="9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E1-F4</w:t>
            </w:r>
          </w:p>
        </w:tc>
        <w:tc>
          <w:tcPr>
            <w:tcW w:type="dxa" w:w="2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Natural Language Query</w:t>
            </w:r>
          </w:p>
        </w:tc>
        <w:tc>
          <w:tcPr>
            <w:tcW w:type="dxa" w:w="1800"/>
            <w:tcBorders>
              <w:top w:val="single" w:color="6EE7B7" w:sz="4"/>
              <w:left w:val="single" w:color="6EE7B7" w:sz="4"/>
              <w:bottom w:val="single" w:color="6EE7B7" w:sz="4"/>
              <w:right w:val="single" w:color="6EE7B7" w:sz="4"/>
            </w:tcBorders>
            <w:shd w:fill="ECFDF5" w:val="clear"/>
            <w:tcMar>
              <w:top w:type="dxa" w:w="80"/>
              <w:left w:type="dxa" w:w="160"/>
              <w:bottom w:type="dxa" w:w="80"/>
              <w:right w:type="dxa" w:w="160"/>
            </w:tcMar>
            <w:vAlign w:val="center"/>
          </w:tcPr>
          <w:p>
            <w:pPr>
              <w:jc w:val="center"/>
            </w:pPr>
            <w:r>
              <w:rPr>
                <w:rFonts w:ascii="Calibri" w:cs="Calibri" w:eastAsia="Calibri" w:hAnsi="Calibri"/>
                <w:b/>
                <w:bCs/>
                <w:color w:val="065F46"/>
                <w:sz w:val="20"/>
                <w:szCs w:val="20"/>
              </w:rPr>
              <w:t xml:space="preserve">Done</w:t>
            </w:r>
          </w:p>
        </w:tc>
        <w:tc>
          <w:tcPr>
            <w:tcW w:type="dxa" w:w="31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Query engine handles 15+ patterns. Plain English responses with supporting data table. Audit logged.</w:t>
            </w:r>
          </w:p>
        </w:tc>
      </w:tr>
      <w:tr>
        <w:trPr>
          <w:cantSplit/>
        </w:trPr>
        <w:tc>
          <w:tcPr>
            <w:tcW w:type="dxa" w:w="9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E1-F5</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Card Risk Profiling</w:t>
            </w:r>
          </w:p>
        </w:tc>
        <w:tc>
          <w:tcPr>
            <w:tcW w:type="dxa" w:w="1800"/>
            <w:tcBorders>
              <w:top w:val="single" w:color="FCA5A5" w:sz="4"/>
              <w:left w:val="single" w:color="FCA5A5" w:sz="4"/>
              <w:bottom w:val="single" w:color="FCA5A5" w:sz="4"/>
              <w:right w:val="single" w:color="FCA5A5" w:sz="4"/>
            </w:tcBorders>
            <w:shd w:fill="FEF2F2" w:val="clear"/>
            <w:tcMar>
              <w:top w:type="dxa" w:w="80"/>
              <w:left w:type="dxa" w:w="160"/>
              <w:bottom w:type="dxa" w:w="80"/>
              <w:right w:type="dxa" w:w="160"/>
            </w:tcMar>
            <w:vAlign w:val="center"/>
          </w:tcPr>
          <w:p>
            <w:pPr>
              <w:jc w:val="center"/>
            </w:pPr>
            <w:r>
              <w:rPr>
                <w:rFonts w:ascii="Calibri" w:cs="Calibri" w:eastAsia="Calibri" w:hAnsi="Calibri"/>
                <w:b/>
                <w:bCs/>
                <w:color w:val="991B1B"/>
                <w:sz w:val="20"/>
                <w:szCs w:val="20"/>
              </w:rPr>
              <w:t xml:space="preserve">Not Done</w:t>
            </w:r>
          </w:p>
        </w:tc>
        <w:tc>
          <w:tcPr>
            <w:tcW w:type="dxa" w:w="31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card_profiles table populated on every webhook. Risk score (0–100) computed and stored. Blocked cards trigger CRITICAL alert within 5 seconds.</w:t>
            </w:r>
          </w:p>
        </w:tc>
      </w:tr>
    </w:tbl>
    <w:p>
      <w:pPr>
        <w:spacing w:before="0" w:after="120"/>
      </w:pPr>
      <w:r>
        <w:rPr>
          <w:rFonts w:ascii="Calibri" w:cs="Calibri" w:eastAsia="Calibri" w:hAnsi="Calibri"/>
          <w:sz w:val="22"/>
          <w:szCs w:val="22"/>
        </w:rPr>
        <w:t xml:space="preserve"/>
      </w:r>
    </w:p>
    <w:p>
      <w:pPr>
        <w:pStyle w:val="Heading2"/>
        <w:keepNext/>
        <w:keepLines/>
        <w:spacing w:before="240" w:after="80"/>
      </w:pPr>
      <w:r>
        <w:rPr>
          <w:rFonts w:ascii="Calibri" w:cs="Calibri" w:eastAsia="Calibri" w:hAnsi="Calibri"/>
          <w:b/>
          <w:bCs/>
          <w:color w:val="374151"/>
          <w:sz w:val="22"/>
          <w:szCs w:val="22"/>
        </w:rPr>
        <w:t xml:space="preserve">Epic E2 — Square Marketplace Certification</w:t>
      </w:r>
    </w:p>
    <w:p>
      <w:pPr>
        <w:spacing w:before="0" w:after="140"/>
      </w:pPr>
      <w:r>
        <w:rPr>
          <w:rFonts w:ascii="Calibri" w:cs="Calibri" w:eastAsia="Calibri" w:hAnsi="Calibri"/>
          <w:color w:val="333333"/>
          <w:sz w:val="22"/>
          <w:szCs w:val="22"/>
        </w:rPr>
        <w:t xml:space="preserve">E2 is the critical path. It is 4% complete and is the sole gate to Marketplace listing. Every E2 feature must be done before the submission can be filed.</w:t>
      </w:r>
    </w:p>
    <w:p>
      <w:pPr>
        <w:spacing w:before="0" w:after="60"/>
      </w:pPr>
      <w:r>
        <w:rPr>
          <w:rFonts w:ascii="Calibri" w:cs="Calibri" w:eastAsia="Calibri" w:hAnsi="Calibri"/>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3140"/>
      </w:tblGrid>
      <w:tr>
        <w:trPr>
          <w:tblHeader/>
        </w:trPr>
        <w:tc>
          <w:tcPr>
            <w:tcW w:type="dxa" w:w="9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ID</w:t>
            </w:r>
          </w:p>
        </w:tc>
        <w:tc>
          <w:tcPr>
            <w:tcW w:type="dxa" w:w="28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Feature</w:t>
            </w:r>
          </w:p>
        </w:tc>
        <w:tc>
          <w:tcPr>
            <w:tcW w:type="dxa" w:w="18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Status</w:t>
            </w:r>
          </w:p>
        </w:tc>
        <w:tc>
          <w:tcPr>
            <w:tcW w:type="dxa" w:w="314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Acceptance Gate</w:t>
            </w:r>
          </w:p>
        </w:tc>
      </w:tr>
      <w:tr>
        <w:trPr>
          <w:cantSplit/>
        </w:trPr>
        <w:tc>
          <w:tcPr>
            <w:tcW w:type="dxa" w:w="9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E2-F1</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Security &amp; Compliance Hardening</w:t>
            </w:r>
          </w:p>
        </w:tc>
        <w:tc>
          <w:tcPr>
            <w:tcW w:type="dxa" w:w="1800"/>
            <w:tcBorders>
              <w:top w:val="single" w:color="FCA5A5" w:sz="4"/>
              <w:left w:val="single" w:color="FCA5A5" w:sz="4"/>
              <w:bottom w:val="single" w:color="FCA5A5" w:sz="4"/>
              <w:right w:val="single" w:color="FCA5A5" w:sz="4"/>
            </w:tcBorders>
            <w:shd w:fill="FEF2F2" w:val="clear"/>
            <w:tcMar>
              <w:top w:type="dxa" w:w="80"/>
              <w:left w:type="dxa" w:w="160"/>
              <w:bottom w:type="dxa" w:w="80"/>
              <w:right w:type="dxa" w:w="160"/>
            </w:tcMar>
            <w:vAlign w:val="center"/>
          </w:tcPr>
          <w:p>
            <w:pPr>
              <w:jc w:val="center"/>
            </w:pPr>
            <w:r>
              <w:rPr>
                <w:rFonts w:ascii="Calibri" w:cs="Calibri" w:eastAsia="Calibri" w:hAnsi="Calibri"/>
                <w:b/>
                <w:bCs/>
                <w:color w:val="991B1B"/>
                <w:sz w:val="20"/>
                <w:szCs w:val="20"/>
              </w:rPr>
              <w:t xml:space="preserve">Not Done</w:t>
            </w:r>
          </w:p>
        </w:tc>
        <w:tc>
          <w:tcPr>
            <w:tcW w:type="dxa" w:w="31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All environment variables validated at startup. HTTPS enforced. TLS certificate valid. No API keys in code or git history. Privacy policy and ToS URLs live.</w:t>
            </w:r>
          </w:p>
        </w:tc>
      </w:tr>
      <w:tr>
        <w:trPr>
          <w:cantSplit/>
        </w:trPr>
        <w:tc>
          <w:tcPr>
            <w:tcW w:type="dxa" w:w="9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E2-F2</w:t>
            </w:r>
          </w:p>
        </w:tc>
        <w:tc>
          <w:tcPr>
            <w:tcW w:type="dxa" w:w="2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Production Deployment (AWS)</w:t>
            </w:r>
          </w:p>
        </w:tc>
        <w:tc>
          <w:tcPr>
            <w:tcW w:type="dxa" w:w="1800"/>
            <w:tcBorders>
              <w:top w:val="single" w:color="FCA5A5" w:sz="4"/>
              <w:left w:val="single" w:color="FCA5A5" w:sz="4"/>
              <w:bottom w:val="single" w:color="FCA5A5" w:sz="4"/>
              <w:right w:val="single" w:color="FCA5A5" w:sz="4"/>
            </w:tcBorders>
            <w:shd w:fill="FEF2F2" w:val="clear"/>
            <w:tcMar>
              <w:top w:type="dxa" w:w="80"/>
              <w:left w:type="dxa" w:w="160"/>
              <w:bottom w:type="dxa" w:w="80"/>
              <w:right w:type="dxa" w:w="160"/>
            </w:tcMar>
            <w:vAlign w:val="center"/>
          </w:tcPr>
          <w:p>
            <w:pPr>
              <w:jc w:val="center"/>
            </w:pPr>
            <w:r>
              <w:rPr>
                <w:rFonts w:ascii="Calibri" w:cs="Calibri" w:eastAsia="Calibri" w:hAnsi="Calibri"/>
                <w:b/>
                <w:bCs/>
                <w:color w:val="991B1B"/>
                <w:sz w:val="20"/>
                <w:szCs w:val="20"/>
              </w:rPr>
              <w:t xml:space="preserve">Not Done</w:t>
            </w:r>
          </w:p>
        </w:tc>
        <w:tc>
          <w:tcPr>
            <w:tcW w:type="dxa" w:w="31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Application running on AWS (EC2 + RDS). CI/CD pipeline active. Automated daily backups. Load balancer configured for zero-downtime deploys.</w:t>
            </w:r>
          </w:p>
        </w:tc>
      </w:tr>
      <w:tr>
        <w:trPr>
          <w:cantSplit/>
        </w:trPr>
        <w:tc>
          <w:tcPr>
            <w:tcW w:type="dxa" w:w="9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E2-F3</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Sandbox E2E Validation</w:t>
            </w:r>
          </w:p>
        </w:tc>
        <w:tc>
          <w:tcPr>
            <w:tcW w:type="dxa" w:w="1800"/>
            <w:tcBorders>
              <w:top w:val="single" w:color="FCD34D" w:sz="4"/>
              <w:left w:val="single" w:color="FCD34D" w:sz="4"/>
              <w:bottom w:val="single" w:color="FCD34D" w:sz="4"/>
              <w:right w:val="single" w:color="FCD34D" w:sz="4"/>
            </w:tcBorders>
            <w:shd w:fill="FFFBEB" w:val="clear"/>
            <w:tcMar>
              <w:top w:type="dxa" w:w="80"/>
              <w:left w:type="dxa" w:w="160"/>
              <w:bottom w:type="dxa" w:w="80"/>
              <w:right w:type="dxa" w:w="160"/>
            </w:tcMar>
            <w:vAlign w:val="center"/>
          </w:tcPr>
          <w:p>
            <w:pPr>
              <w:jc w:val="center"/>
            </w:pPr>
            <w:r>
              <w:rPr>
                <w:rFonts w:ascii="Calibri" w:cs="Calibri" w:eastAsia="Calibri" w:hAnsi="Calibri"/>
                <w:b/>
                <w:bCs/>
                <w:color w:val="92400E"/>
                <w:sz w:val="20"/>
                <w:szCs w:val="20"/>
              </w:rPr>
              <w:t xml:space="preserve">Partial</w:t>
            </w:r>
          </w:p>
        </w:tc>
        <w:tc>
          <w:tcPr>
            <w:tcW w:type="dxa" w:w="31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Full E2E test chain passing: OAuth install → webhook → Chirp alert → dashboard → receipt detail → alert resolution. Five beta merchants active.</w:t>
            </w:r>
          </w:p>
        </w:tc>
      </w:tr>
      <w:tr>
        <w:trPr>
          <w:cantSplit/>
        </w:trPr>
        <w:tc>
          <w:tcPr>
            <w:tcW w:type="dxa" w:w="9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E2-F4</w:t>
            </w:r>
          </w:p>
        </w:tc>
        <w:tc>
          <w:tcPr>
            <w:tcW w:type="dxa" w:w="2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Marketplace Listing &amp; Submission</w:t>
            </w:r>
          </w:p>
        </w:tc>
        <w:tc>
          <w:tcPr>
            <w:tcW w:type="dxa" w:w="1800"/>
            <w:tcBorders>
              <w:top w:val="single" w:color="FCA5A5" w:sz="4"/>
              <w:left w:val="single" w:color="FCA5A5" w:sz="4"/>
              <w:bottom w:val="single" w:color="FCA5A5" w:sz="4"/>
              <w:right w:val="single" w:color="FCA5A5" w:sz="4"/>
            </w:tcBorders>
            <w:shd w:fill="FEF2F2" w:val="clear"/>
            <w:tcMar>
              <w:top w:type="dxa" w:w="80"/>
              <w:left w:type="dxa" w:w="160"/>
              <w:bottom w:type="dxa" w:w="80"/>
              <w:right w:type="dxa" w:w="160"/>
            </w:tcMar>
            <w:vAlign w:val="center"/>
          </w:tcPr>
          <w:p>
            <w:pPr>
              <w:jc w:val="center"/>
            </w:pPr>
            <w:r>
              <w:rPr>
                <w:rFonts w:ascii="Calibri" w:cs="Calibri" w:eastAsia="Calibri" w:hAnsi="Calibri"/>
                <w:b/>
                <w:bCs/>
                <w:color w:val="991B1B"/>
                <w:sz w:val="20"/>
                <w:szCs w:val="20"/>
              </w:rPr>
              <w:t xml:space="preserve">Not Done</w:t>
            </w:r>
          </w:p>
        </w:tc>
        <w:tc>
          <w:tcPr>
            <w:tcW w:type="dxa" w:w="31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Listing complete with 3+ screenshots, pricing, support URL. App passes Square automated and manual review. Filed and approved.</w:t>
            </w:r>
          </w:p>
        </w:tc>
      </w:tr>
    </w:tbl>
    <w:p>
      <w:pPr>
        <w:spacing w:before="0" w:after="120"/>
      </w:pPr>
      <w:r>
        <w:rPr>
          <w:rFonts w:ascii="Calibri" w:cs="Calibri" w:eastAsia="Calibri" w:hAnsi="Calibri"/>
          <w:sz w:val="22"/>
          <w:szCs w:val="22"/>
        </w:rPr>
        <w:t xml:space="preserve"/>
      </w:r>
    </w:p>
    <w:p>
      <w:pPr>
        <w:pStyle w:val="Heading2"/>
        <w:keepNext/>
        <w:keepLines/>
        <w:spacing w:before="240" w:after="80"/>
      </w:pPr>
      <w:r>
        <w:rPr>
          <w:rFonts w:ascii="Calibri" w:cs="Calibri" w:eastAsia="Calibri" w:hAnsi="Calibri"/>
          <w:b/>
          <w:bCs/>
          <w:color w:val="374151"/>
          <w:sz w:val="22"/>
          <w:szCs w:val="22"/>
        </w:rPr>
        <w:t xml:space="preserve">Epic E3 — Fox: Case Management Sprint 1</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3140"/>
      </w:tblGrid>
      <w:tr>
        <w:trPr>
          <w:tblHeader/>
        </w:trPr>
        <w:tc>
          <w:tcPr>
            <w:tcW w:type="dxa" w:w="9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ID</w:t>
            </w:r>
          </w:p>
        </w:tc>
        <w:tc>
          <w:tcPr>
            <w:tcW w:type="dxa" w:w="28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Feature</w:t>
            </w:r>
          </w:p>
        </w:tc>
        <w:tc>
          <w:tcPr>
            <w:tcW w:type="dxa" w:w="18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Status</w:t>
            </w:r>
          </w:p>
        </w:tc>
        <w:tc>
          <w:tcPr>
            <w:tcW w:type="dxa" w:w="314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Acceptance Gate</w:t>
            </w:r>
          </w:p>
        </w:tc>
      </w:tr>
      <w:tr>
        <w:trPr>
          <w:cantSplit/>
        </w:trPr>
        <w:tc>
          <w:tcPr>
            <w:tcW w:type="dxa" w:w="9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E3-F1</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Incident Report &amp; Case Creation</w:t>
            </w:r>
          </w:p>
        </w:tc>
        <w:tc>
          <w:tcPr>
            <w:tcW w:type="dxa" w:w="1800"/>
            <w:tcBorders>
              <w:top w:val="single" w:color="6EE7B7" w:sz="4"/>
              <w:left w:val="single" w:color="6EE7B7" w:sz="4"/>
              <w:bottom w:val="single" w:color="6EE7B7" w:sz="4"/>
              <w:right w:val="single" w:color="6EE7B7" w:sz="4"/>
            </w:tcBorders>
            <w:shd w:fill="ECFDF5" w:val="clear"/>
            <w:tcMar>
              <w:top w:type="dxa" w:w="80"/>
              <w:left w:type="dxa" w:w="160"/>
              <w:bottom w:type="dxa" w:w="80"/>
              <w:right w:type="dxa" w:w="160"/>
            </w:tcMar>
            <w:vAlign w:val="center"/>
          </w:tcPr>
          <w:p>
            <w:pPr>
              <w:jc w:val="center"/>
            </w:pPr>
            <w:r>
              <w:rPr>
                <w:rFonts w:ascii="Calibri" w:cs="Calibri" w:eastAsia="Calibri" w:hAnsi="Calibri"/>
                <w:b/>
                <w:bCs/>
                <w:color w:val="065F46"/>
                <w:sz w:val="20"/>
                <w:szCs w:val="20"/>
              </w:rPr>
              <w:t xml:space="preserve">Done</w:t>
            </w:r>
          </w:p>
        </w:tc>
        <w:tc>
          <w:tcPr>
            <w:tcW w:type="dxa" w:w="31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Structured case creation from alert with pre-populated fields. 17-type taxonomy. Case number auto-generated. All fields logged to timeline.</w:t>
            </w:r>
          </w:p>
        </w:tc>
      </w:tr>
      <w:tr>
        <w:trPr>
          <w:cantSplit/>
        </w:trPr>
        <w:tc>
          <w:tcPr>
            <w:tcW w:type="dxa" w:w="9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E3-F2</w:t>
            </w:r>
          </w:p>
        </w:tc>
        <w:tc>
          <w:tcPr>
            <w:tcW w:type="dxa" w:w="2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Evidence Locker &amp; Chain of Custody</w:t>
            </w:r>
          </w:p>
        </w:tc>
        <w:tc>
          <w:tcPr>
            <w:tcW w:type="dxa" w:w="1800"/>
            <w:tcBorders>
              <w:top w:val="single" w:color="FCD34D" w:sz="4"/>
              <w:left w:val="single" w:color="FCD34D" w:sz="4"/>
              <w:bottom w:val="single" w:color="FCD34D" w:sz="4"/>
              <w:right w:val="single" w:color="FCD34D" w:sz="4"/>
            </w:tcBorders>
            <w:shd w:fill="FFFBEB" w:val="clear"/>
            <w:tcMar>
              <w:top w:type="dxa" w:w="80"/>
              <w:left w:type="dxa" w:w="160"/>
              <w:bottom w:type="dxa" w:w="80"/>
              <w:right w:type="dxa" w:w="160"/>
            </w:tcMar>
            <w:vAlign w:val="center"/>
          </w:tcPr>
          <w:p>
            <w:pPr>
              <w:jc w:val="center"/>
            </w:pPr>
            <w:r>
              <w:rPr>
                <w:rFonts w:ascii="Calibri" w:cs="Calibri" w:eastAsia="Calibri" w:hAnsi="Calibri"/>
                <w:b/>
                <w:bCs/>
                <w:color w:val="92400E"/>
                <w:sz w:val="20"/>
                <w:szCs w:val="20"/>
              </w:rPr>
              <w:t xml:space="preserve">Partial</w:t>
            </w:r>
          </w:p>
        </w:tc>
        <w:tc>
          <w:tcPr>
            <w:tcW w:type="dxa" w:w="31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INSERT-only evidence table enforced by DB trigger. SHA-256 hash on every upload. Hash verified on every retrieval. Every access logged.</w:t>
            </w:r>
          </w:p>
        </w:tc>
      </w:tr>
      <w:tr>
        <w:trPr>
          <w:cantSplit/>
        </w:trPr>
        <w:tc>
          <w:tcPr>
            <w:tcW w:type="dxa" w:w="9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E3-F3</w:t>
            </w:r>
          </w:p>
        </w:tc>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Case Timeline &amp; Audit Trail</w:t>
            </w:r>
          </w:p>
        </w:tc>
        <w:tc>
          <w:tcPr>
            <w:tcW w:type="dxa" w:w="1800"/>
            <w:tcBorders>
              <w:top w:val="single" w:color="6EE7B7" w:sz="4"/>
              <w:left w:val="single" w:color="6EE7B7" w:sz="4"/>
              <w:bottom w:val="single" w:color="6EE7B7" w:sz="4"/>
              <w:right w:val="single" w:color="6EE7B7" w:sz="4"/>
            </w:tcBorders>
            <w:shd w:fill="ECFDF5" w:val="clear"/>
            <w:tcMar>
              <w:top w:type="dxa" w:w="80"/>
              <w:left w:type="dxa" w:w="160"/>
              <w:bottom w:type="dxa" w:w="80"/>
              <w:right w:type="dxa" w:w="160"/>
            </w:tcMar>
            <w:vAlign w:val="center"/>
          </w:tcPr>
          <w:p>
            <w:pPr>
              <w:jc w:val="center"/>
            </w:pPr>
            <w:r>
              <w:rPr>
                <w:rFonts w:ascii="Calibri" w:cs="Calibri" w:eastAsia="Calibri" w:hAnsi="Calibri"/>
                <w:b/>
                <w:bCs/>
                <w:color w:val="065F46"/>
                <w:sz w:val="20"/>
                <w:szCs w:val="20"/>
              </w:rPr>
              <w:t xml:space="preserve">Done</w:t>
            </w:r>
          </w:p>
        </w:tc>
        <w:tc>
          <w:tcPr>
            <w:tcW w:type="dxa" w:w="31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Append-only timeline auto-populated on every state change. All entries include actor, timestamp, metadata. Timeline displayed newest-first.</w:t>
            </w:r>
          </w:p>
        </w:tc>
      </w:tr>
      <w:tr>
        <w:trPr>
          <w:cantSplit/>
        </w:trPr>
        <w:tc>
          <w:tcPr>
            <w:tcW w:type="dxa" w:w="9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FBBF24"/>
                <w:sz w:val="20"/>
                <w:szCs w:val="20"/>
              </w:rPr>
              <w:t xml:space="preserve">E3-F4</w:t>
            </w:r>
          </w:p>
        </w:tc>
        <w:tc>
          <w:tcPr>
            <w:tcW w:type="dxa" w:w="2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Case Actions &amp; Resolution</w:t>
            </w:r>
          </w:p>
        </w:tc>
        <w:tc>
          <w:tcPr>
            <w:tcW w:type="dxa" w:w="1800"/>
            <w:tcBorders>
              <w:top w:val="single" w:color="FCD34D" w:sz="4"/>
              <w:left w:val="single" w:color="FCD34D" w:sz="4"/>
              <w:bottom w:val="single" w:color="FCD34D" w:sz="4"/>
              <w:right w:val="single" w:color="FCD34D" w:sz="4"/>
            </w:tcBorders>
            <w:shd w:fill="FFFBEB" w:val="clear"/>
            <w:tcMar>
              <w:top w:type="dxa" w:w="80"/>
              <w:left w:type="dxa" w:w="160"/>
              <w:bottom w:type="dxa" w:w="80"/>
              <w:right w:type="dxa" w:w="160"/>
            </w:tcMar>
            <w:vAlign w:val="center"/>
          </w:tcPr>
          <w:p>
            <w:pPr>
              <w:jc w:val="center"/>
            </w:pPr>
            <w:r>
              <w:rPr>
                <w:rFonts w:ascii="Calibri" w:cs="Calibri" w:eastAsia="Calibri" w:hAnsi="Calibri"/>
                <w:b/>
                <w:bCs/>
                <w:color w:val="92400E"/>
                <w:sz w:val="20"/>
                <w:szCs w:val="20"/>
              </w:rPr>
              <w:t xml:space="preserve">Partial</w:t>
            </w:r>
          </w:p>
        </w:tc>
        <w:tc>
          <w:tcPr>
            <w:tcW w:type="dxa" w:w="31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All action types implemented. Status transitions logged. Case closure requires resolution note (min 10 characters). Closed cases are read-only.</w:t>
            </w:r>
          </w:p>
        </w:tc>
      </w:tr>
    </w:tbl>
    <w:p>
      <w:pPr>
        <w:spacing w:before="0" w:after="120"/>
      </w:pPr>
      <w:r>
        <w:rPr>
          <w:rFonts w:ascii="Calibri" w:cs="Calibri" w:eastAsia="Calibri" w:hAnsi="Calibri"/>
          <w:sz w:val="22"/>
          <w:szCs w:val="22"/>
        </w:rPr>
        <w:t xml:space="preserve"/>
      </w:r>
    </w:p>
    <w:p>
      <w:pPr>
        <w:pStyle w:val="Heading1"/>
        <w:keepNext/>
        <w:pBdr>
          <w:bottom w:val="single" w:color="FBBF24" w:sz="6" w:space="4"/>
        </w:pBdr>
        <w:spacing w:before="400" w:after="120"/>
      </w:pPr>
      <w:r>
        <w:rPr>
          <w:rFonts w:ascii="Calibri" w:cs="Calibri" w:eastAsia="Calibri" w:hAnsi="Calibri"/>
          <w:b/>
          <w:bCs/>
          <w:color w:val="FBBF24"/>
          <w:sz w:val="28"/>
          <w:szCs w:val="28"/>
        </w:rPr>
        <w:t xml:space="preserve">5. Quality Gate — Definition of Done</w:t>
      </w:r>
    </w:p>
    <w:p>
      <w:pPr>
        <w:spacing w:before="0" w:after="60"/>
      </w:pPr>
      <w:r>
        <w:rPr>
          <w:rFonts w:ascii="Calibri" w:cs="Calibri" w:eastAsia="Calibri" w:hAnsi="Calibri"/>
          <w:sz w:val="22"/>
          <w:szCs w:val="22"/>
        </w:rPr>
        <w:t xml:space="preserve"/>
      </w:r>
    </w:p>
    <w:p>
      <w:pPr>
        <w:spacing w:before="0" w:after="140"/>
      </w:pPr>
      <w:r>
        <w:rPr>
          <w:rFonts w:ascii="Calibri" w:cs="Calibri" w:eastAsia="Calibri" w:hAnsi="Calibri"/>
          <w:color w:val="333333"/>
          <w:sz w:val="22"/>
          <w:szCs w:val="22"/>
        </w:rPr>
        <w:t xml:space="preserve">A feature is done when — and only when — all of its acceptance criteria are verified. Verification is performed by an independent QA review, not by the developer who built it. Self-certification is not accepted.</w:t>
      </w:r>
    </w:p>
    <w:p>
      <w:pPr>
        <w:spacing w:before="0" w:after="60"/>
      </w:pPr>
      <w:r>
        <w:rPr>
          <w:rFonts w:ascii="Calibri" w:cs="Calibri" w:eastAsia="Calibri" w:hAnsi="Calibri"/>
          <w:sz w:val="22"/>
          <w:szCs w:val="22"/>
        </w:rPr>
        <w:t xml:space="preserve"/>
      </w:r>
    </w:p>
    <w:p>
      <w:pPr>
        <w:pStyle w:val="Heading2"/>
        <w:keepNext/>
        <w:keepLines/>
        <w:spacing w:before="240" w:after="80"/>
      </w:pPr>
      <w:r>
        <w:rPr>
          <w:rFonts w:ascii="Calibri" w:cs="Calibri" w:eastAsia="Calibri" w:hAnsi="Calibri"/>
          <w:b/>
          <w:bCs/>
          <w:color w:val="374151"/>
          <w:sz w:val="22"/>
          <w:szCs w:val="22"/>
        </w:rPr>
        <w:t xml:space="preserve">The Gate Has Four Checks</w:t>
      </w:r>
    </w:p>
    <w:p>
      <w:pPr>
        <w:pStyle w:val="ListParagraph"/>
        <w:numPr>
          <w:ilvl w:val="0"/>
          <w:numId w:val="2"/>
        </w:numPr>
        <w:spacing w:before="40" w:after="60"/>
      </w:pPr>
      <w:r>
        <w:rPr>
          <w:rFonts w:ascii="Calibri" w:cs="Calibri" w:eastAsia="Calibri" w:hAnsi="Calibri"/>
          <w:color w:val="333333"/>
          <w:sz w:val="22"/>
          <w:szCs w:val="22"/>
        </w:rPr>
        <w:t xml:space="preserve">Acceptance Criteria: Every AC item for the feature is verified as passing. No partial credit. A feature is 100% done or it is not done.</w:t>
      </w:r>
    </w:p>
    <w:p>
      <w:pPr>
        <w:pStyle w:val="ListParagraph"/>
        <w:numPr>
          <w:ilvl w:val="0"/>
          <w:numId w:val="2"/>
        </w:numPr>
        <w:spacing w:before="40" w:after="60"/>
      </w:pPr>
      <w:r>
        <w:rPr>
          <w:rFonts w:ascii="Calibri" w:cs="Calibri" w:eastAsia="Calibri" w:hAnsi="Calibri"/>
          <w:color w:val="333333"/>
          <w:sz w:val="22"/>
          <w:szCs w:val="22"/>
        </w:rPr>
        <w:t xml:space="preserve">Security Review: Any feature that touches authentication, data storage, API communication, or webhook handling is reviewed against the Square Marketplace security requirements before it is marked done.</w:t>
      </w:r>
    </w:p>
    <w:p>
      <w:pPr>
        <w:pStyle w:val="ListParagraph"/>
        <w:numPr>
          <w:ilvl w:val="0"/>
          <w:numId w:val="2"/>
        </w:numPr>
        <w:spacing w:before="40" w:after="60"/>
      </w:pPr>
      <w:r>
        <w:rPr>
          <w:rFonts w:ascii="Calibri" w:cs="Calibri" w:eastAsia="Calibri" w:hAnsi="Calibri"/>
          <w:color w:val="333333"/>
          <w:sz w:val="22"/>
          <w:szCs w:val="22"/>
        </w:rPr>
        <w:t xml:space="preserve">Audit Coverage: Every state-changing operation in the feature writes to the audit_log before returning a success response. This is verified by test, not by code inspection.</w:t>
      </w:r>
    </w:p>
    <w:p>
      <w:pPr>
        <w:pStyle w:val="ListParagraph"/>
        <w:numPr>
          <w:ilvl w:val="0"/>
          <w:numId w:val="2"/>
        </w:numPr>
        <w:spacing w:before="40" w:after="60"/>
      </w:pPr>
      <w:r>
        <w:rPr>
          <w:rFonts w:ascii="Calibri" w:cs="Calibri" w:eastAsia="Calibri" w:hAnsi="Calibri"/>
          <w:color w:val="333333"/>
          <w:sz w:val="22"/>
          <w:szCs w:val="22"/>
        </w:rPr>
        <w:t xml:space="preserve">Documentation Gate: No feature is marked done without corresponding documentation: API endpoint documented, merchant-facing behavior described in plain language, any configuration options noted.</w:t>
      </w:r>
    </w:p>
    <w:p>
      <w:pPr>
        <w:spacing w:before="0" w:after="120"/>
      </w:pPr>
      <w:r>
        <w:rPr>
          <w:rFonts w:ascii="Calibri" w:cs="Calibri" w:eastAsia="Calibri" w:hAnsi="Calibri"/>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059669" w:sz="16"/>
              <w:bottom w:val="none" w:color="FFFFFF" w:sz="0"/>
              <w:right w:val="none" w:color="FFFFFF" w:sz="0"/>
            </w:tcBorders>
            <w:shd w:fill="ECFDF5" w:val="clear"/>
            <w:tcMar>
              <w:top w:type="dxa" w:w="120"/>
              <w:left w:type="dxa" w:w="200"/>
              <w:bottom w:type="dxa" w:w="120"/>
              <w:right w:type="dxa" w:w="160"/>
            </w:tcMar>
          </w:tcPr>
          <w:p>
            <w:pPr>
              <w:spacing w:before="0" w:after="60"/>
            </w:pPr>
            <w:r>
              <w:rPr>
                <w:rFonts w:ascii="Calibri" w:cs="Calibri" w:eastAsia="Calibri" w:hAnsi="Calibri"/>
                <w:b/>
                <w:bCs/>
                <w:color w:val="065F46"/>
                <w:sz w:val="20"/>
                <w:szCs w:val="20"/>
              </w:rPr>
              <w:t xml:space="preserve">No Retrofitting</w:t>
            </w:r>
          </w:p>
          <w:p>
            <w:pPr>
              <w:spacing w:before="0" w:after="0"/>
            </w:pPr>
            <w:r>
              <w:rPr>
                <w:rFonts w:ascii="Calibri" w:cs="Calibri" w:eastAsia="Calibri" w:hAnsi="Calibri"/>
                <w:color w:val="065F46"/>
                <w:sz w:val="20"/>
                <w:szCs w:val="20"/>
              </w:rPr>
              <w:t xml:space="preserve">Square Marketplace certification requirements are not a checklist applied at the end of the build. HTTPS enforcement, HMAC verification, encrypted credential storage, and Row-Level Security are built into the architecture from the first sprint. The approach is: if it is a requirement for certification, it is a requirement for development.</w:t>
            </w:r>
          </w:p>
        </w:tc>
      </w:tr>
    </w:tbl>
    <w:p>
      <w:pPr>
        <w:spacing w:before="0" w:after="120"/>
      </w:pPr>
      <w:r>
        <w:rPr>
          <w:rFonts w:ascii="Calibri" w:cs="Calibri" w:eastAsia="Calibri" w:hAnsi="Calibri"/>
          <w:sz w:val="22"/>
          <w:szCs w:val="22"/>
        </w:rPr>
        <w:t xml:space="preserve"/>
      </w:r>
    </w:p>
    <w:p>
      <w:pPr>
        <w:pStyle w:val="Heading1"/>
        <w:keepNext/>
        <w:pBdr>
          <w:bottom w:val="single" w:color="FBBF24" w:sz="6" w:space="4"/>
        </w:pBdr>
        <w:spacing w:before="400" w:after="120"/>
      </w:pPr>
      <w:r>
        <w:rPr>
          <w:rFonts w:ascii="Calibri" w:cs="Calibri" w:eastAsia="Calibri" w:hAnsi="Calibri"/>
          <w:b/>
          <w:bCs/>
          <w:color w:val="FBBF24"/>
          <w:sz w:val="28"/>
          <w:szCs w:val="28"/>
        </w:rPr>
        <w:t xml:space="preserve">6. Critical Path to Marketplace</w:t>
      </w:r>
    </w:p>
    <w:p>
      <w:pPr>
        <w:spacing w:before="0" w:after="60"/>
      </w:pPr>
      <w:r>
        <w:rPr>
          <w:rFonts w:ascii="Calibri" w:cs="Calibri" w:eastAsia="Calibri" w:hAnsi="Calibri"/>
          <w:sz w:val="22"/>
          <w:szCs w:val="22"/>
        </w:rPr>
        <w:t xml:space="preserve"/>
      </w:r>
    </w:p>
    <w:p>
      <w:pPr>
        <w:spacing w:before="0" w:after="140"/>
      </w:pPr>
      <w:r>
        <w:rPr>
          <w:rFonts w:ascii="Calibri" w:cs="Calibri" w:eastAsia="Calibri" w:hAnsi="Calibri"/>
          <w:color w:val="333333"/>
          <w:sz w:val="22"/>
          <w:szCs w:val="22"/>
        </w:rPr>
        <w:t xml:space="preserve">Three items on the critical path will determine the submission date. All three are Sprint 2 items. They cannot be parallelised — each depends on the previous.</w:t>
      </w:r>
    </w:p>
    <w:p>
      <w:pPr>
        <w:spacing w:before="0" w:after="60"/>
      </w:pPr>
      <w:r>
        <w:rPr>
          <w:rFonts w:ascii="Calibri" w:cs="Calibri" w:eastAsia="Calibri" w:hAnsi="Calibri"/>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400"/>
        <w:gridCol w:w="2240"/>
      </w:tblGrid>
      <w:tr>
        <w:trPr>
          <w:tblHeader/>
        </w:trPr>
        <w:tc>
          <w:tcPr>
            <w:tcW w:type="dxa" w:w="30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Item</w:t>
            </w:r>
          </w:p>
        </w:tc>
        <w:tc>
          <w:tcPr>
            <w:tcW w:type="dxa" w:w="20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Blocks</w:t>
            </w:r>
          </w:p>
        </w:tc>
        <w:tc>
          <w:tcPr>
            <w:tcW w:type="dxa" w:w="14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Sprint</w:t>
            </w:r>
          </w:p>
        </w:tc>
        <w:tc>
          <w:tcPr>
            <w:tcW w:type="dxa" w:w="224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Why It's Critical</w:t>
            </w:r>
          </w:p>
        </w:tc>
      </w:tr>
      <w:tr>
        <w:trPr>
          <w:cantSplit/>
        </w:trPr>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HMAC-SHA256 Webhook Signature Verification</w:t>
            </w:r>
          </w:p>
        </w:tc>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E2-F3 (sandbox E2E), E2-F4 (submission)</w:t>
            </w:r>
          </w:p>
        </w:tc>
        <w:tc>
          <w:tcPr>
            <w:tcW w:type="dxa" w:w="1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991B1B"/>
                <w:sz w:val="20"/>
                <w:szCs w:val="20"/>
              </w:rPr>
              <w:t xml:space="preserve">Sprint 1</w:t>
            </w:r>
          </w:p>
        </w:tc>
        <w:tc>
          <w:tcPr>
            <w:tcW w:type="dxa" w:w="22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Square's automated technical check will fail without this. Submission is blocked.</w:t>
            </w:r>
          </w:p>
        </w:tc>
      </w:tr>
      <w:tr>
        <w:trPr>
          <w:cantSplit/>
        </w:trPr>
        <w:tc>
          <w:tcPr>
            <w:tcW w:type="dxa" w:w="3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AWS Production Deployment + HTTPS</w:t>
            </w:r>
          </w:p>
        </w:tc>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E2-F1 (security), E2-F3 (E2E), E2-F4 (submission)</w:t>
            </w:r>
          </w:p>
        </w:tc>
        <w:tc>
          <w:tcPr>
            <w:tcW w:type="dxa" w:w="1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991B1B"/>
                <w:sz w:val="20"/>
                <w:szCs w:val="20"/>
              </w:rPr>
              <w:t xml:space="preserve">Sprint 2</w:t>
            </w:r>
          </w:p>
        </w:tc>
        <w:tc>
          <w:tcPr>
            <w:tcW w:type="dxa" w:w="22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Square requires a production URL with valid TLS. Localhost does not qualify.</w:t>
            </w:r>
          </w:p>
        </w:tc>
      </w:tr>
      <w:tr>
        <w:trPr>
          <w:cantSplit/>
        </w:trPr>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5 Active Beta Merchants (Square Sandbox)</w:t>
            </w:r>
          </w:p>
        </w:tc>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E2-F4 (submission)</w:t>
            </w:r>
          </w:p>
        </w:tc>
        <w:tc>
          <w:tcPr>
            <w:tcW w:type="dxa" w:w="14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991B1B"/>
                <w:sz w:val="20"/>
                <w:szCs w:val="20"/>
              </w:rPr>
              <w:t xml:space="preserve">Sprint 2</w:t>
            </w:r>
          </w:p>
        </w:tc>
        <w:tc>
          <w:tcPr>
            <w:tcW w:type="dxa" w:w="22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Square requires documented evidence of active beta usage before manual review begins.</w:t>
            </w:r>
          </w:p>
        </w:tc>
      </w:tr>
      <w:tr>
        <w:trPr>
          <w:cantSplit/>
        </w:trPr>
        <w:tc>
          <w:tcPr>
            <w:tcW w:type="dxa" w:w="3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Privacy Policy + Terms of Service URLs</w:t>
            </w:r>
          </w:p>
        </w:tc>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E2-F4 (submission)</w:t>
            </w:r>
          </w:p>
        </w:tc>
        <w:tc>
          <w:tcPr>
            <w:tcW w:type="dxa" w:w="14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92400E"/>
                <w:sz w:val="20"/>
                <w:szCs w:val="20"/>
              </w:rPr>
              <w:t xml:space="preserve">Sprint 2</w:t>
            </w:r>
          </w:p>
        </w:tc>
        <w:tc>
          <w:tcPr>
            <w:tcW w:type="dxa" w:w="22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Both URLs must be live on the production domain before the listing can be submitted.</w:t>
            </w:r>
          </w:p>
        </w:tc>
      </w:tr>
    </w:tbl>
    <w:p>
      <w:pPr>
        <w:spacing w:before="0" w:after="120"/>
      </w:pPr>
      <w:r>
        <w:rPr>
          <w:rFonts w:ascii="Calibri" w:cs="Calibri" w:eastAsia="Calibri" w:hAnsi="Calibri"/>
          <w:sz w:val="22"/>
          <w:szCs w:val="22"/>
        </w:rPr>
        <w:t xml:space="preserve"/>
      </w:r>
    </w:p>
    <w:p>
      <w:pPr>
        <w:pStyle w:val="Heading1"/>
        <w:keepNext/>
        <w:pBdr>
          <w:bottom w:val="single" w:color="FBBF24" w:sz="6" w:space="4"/>
        </w:pBdr>
        <w:spacing w:before="400" w:after="120"/>
      </w:pPr>
      <w:r>
        <w:rPr>
          <w:rFonts w:ascii="Calibri" w:cs="Calibri" w:eastAsia="Calibri" w:hAnsi="Calibri"/>
          <w:b/>
          <w:bCs/>
          <w:color w:val="FBBF24"/>
          <w:sz w:val="28"/>
          <w:szCs w:val="28"/>
        </w:rPr>
        <w:t xml:space="preserve">7. Scope Parking Lot</w:t>
      </w:r>
    </w:p>
    <w:p>
      <w:pPr>
        <w:spacing w:before="0" w:after="60"/>
      </w:pPr>
      <w:r>
        <w:rPr>
          <w:rFonts w:ascii="Calibri" w:cs="Calibri" w:eastAsia="Calibri" w:hAnsi="Calibri"/>
          <w:sz w:val="22"/>
          <w:szCs w:val="22"/>
        </w:rPr>
        <w:t xml:space="preserve"/>
      </w:r>
    </w:p>
    <w:p>
      <w:pPr>
        <w:spacing w:before="0" w:after="140"/>
      </w:pPr>
      <w:r>
        <w:rPr>
          <w:rFonts w:ascii="Calibri" w:cs="Calibri" w:eastAsia="Calibri" w:hAnsi="Calibri"/>
          <w:color w:val="333333"/>
          <w:sz w:val="22"/>
          <w:szCs w:val="22"/>
        </w:rPr>
        <w:t xml:space="preserve">The following features were raised during the planning process and are real, planned capabilities. They are not in MVP scope. They are logged here — not discarded — and will be scheduled for post-MVP sprints after the Square Marketplace listing is confirmed.</w:t>
      </w:r>
    </w:p>
    <w:p>
      <w:pPr>
        <w:spacing w:before="0" w:after="60"/>
      </w:pPr>
      <w:r>
        <w:rPr>
          <w:rFonts w:ascii="Calibri" w:cs="Calibri" w:eastAsia="Calibri" w:hAnsi="Calibri"/>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3840"/>
      </w:tblGrid>
      <w:tr>
        <w:trPr>
          <w:tblHeader/>
        </w:trPr>
        <w:tc>
          <w:tcPr>
            <w:tcW w:type="dxa" w:w="32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Feature</w:t>
            </w:r>
          </w:p>
        </w:tc>
        <w:tc>
          <w:tcPr>
            <w:tcW w:type="dxa" w:w="16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Earliest Sprint</w:t>
            </w:r>
          </w:p>
        </w:tc>
        <w:tc>
          <w:tcPr>
            <w:tcW w:type="dxa" w:w="384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Description</w:t>
            </w:r>
          </w:p>
        </w:tc>
      </w:tr>
      <w:tr>
        <w:trPr>
          <w:cantSplit/>
        </w:trP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Goose: Bitcoin &amp; Lightning Payments</w:t>
            </w:r>
          </w:p>
        </w:tc>
        <w:tc>
          <w:tcPr>
            <w:tcW w:type="dxa" w:w="1600"/>
            <w:tcBorders>
              <w:top w:val="single" w:color="93C5FD" w:sz="4"/>
              <w:left w:val="single" w:color="93C5FD" w:sz="4"/>
              <w:bottom w:val="single" w:color="93C5FD" w:sz="4"/>
              <w:right w:val="single" w:color="93C5FD" w:sz="4"/>
            </w:tcBorders>
            <w:shd w:fill="EFF6FF" w:val="clear"/>
            <w:tcMar>
              <w:top w:type="dxa" w:w="80"/>
              <w:left w:type="dxa" w:w="160"/>
              <w:bottom w:type="dxa" w:w="80"/>
              <w:right w:type="dxa" w:w="160"/>
            </w:tcMar>
            <w:vAlign w:val="center"/>
          </w:tcPr>
          <w:p>
            <w:pPr>
              <w:jc w:val="center"/>
            </w:pPr>
            <w:r>
              <w:rPr>
                <w:rFonts w:ascii="Calibri" w:cs="Calibri" w:eastAsia="Calibri" w:hAnsi="Calibri"/>
                <w:b/>
                <w:bCs/>
                <w:color w:val="1E40AF"/>
                <w:sz w:val="20"/>
                <w:szCs w:val="20"/>
              </w:rPr>
              <w:t xml:space="preserve">Q2 2026</w:t>
            </w:r>
          </w:p>
        </w:tc>
        <w:tc>
          <w:tcPr>
            <w:tcW w:type="dxa" w:w="38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BTCPay Server integration, Lightning Network payment acceptance, LNURL-auth passwordless login, sat-denominated subscription billing.</w:t>
            </w:r>
          </w:p>
        </w:tc>
      </w:tr>
      <w:tr>
        <w:trPr>
          <w:cantSplit/>
        </w:trP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Owl: Analytics Oracle</w:t>
            </w:r>
          </w:p>
        </w:tc>
        <w:tc>
          <w:tcPr>
            <w:tcW w:type="dxa" w:w="1600"/>
            <w:tcBorders>
              <w:top w:val="single" w:color="93C5FD" w:sz="4"/>
              <w:left w:val="single" w:color="93C5FD" w:sz="4"/>
              <w:bottom w:val="single" w:color="93C5FD" w:sz="4"/>
              <w:right w:val="single" w:color="93C5FD" w:sz="4"/>
            </w:tcBorders>
            <w:shd w:fill="EFF6FF" w:val="clear"/>
            <w:tcMar>
              <w:top w:type="dxa" w:w="80"/>
              <w:left w:type="dxa" w:w="160"/>
              <w:bottom w:type="dxa" w:w="80"/>
              <w:right w:type="dxa" w:w="160"/>
            </w:tcMar>
            <w:vAlign w:val="center"/>
          </w:tcPr>
          <w:p>
            <w:pPr>
              <w:jc w:val="center"/>
            </w:pPr>
            <w:r>
              <w:rPr>
                <w:rFonts w:ascii="Calibri" w:cs="Calibri" w:eastAsia="Calibri" w:hAnsi="Calibri"/>
                <w:b/>
                <w:bCs/>
                <w:color w:val="1E40AF"/>
                <w:sz w:val="20"/>
                <w:szCs w:val="20"/>
              </w:rPr>
              <w:t xml:space="preserve">Q2 2026</w:t>
            </w:r>
          </w:p>
        </w:tc>
        <w:tc>
          <w:tcPr>
            <w:tcW w:type="dxa" w:w="38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Total Retail Loss dashboard aggregating shrink, fraud, and operational loss data. Benchmarked against industry averages.</w:t>
            </w:r>
          </w:p>
        </w:tc>
      </w:tr>
      <w:tr>
        <w:trPr>
          <w:cantSplit/>
        </w:trP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Fox Sprint 2: Chain of Custody Ordinals</w:t>
            </w:r>
          </w:p>
        </w:tc>
        <w:tc>
          <w:tcPr>
            <w:tcW w:type="dxa" w:w="1600"/>
            <w:tcBorders>
              <w:top w:val="single" w:color="D1D5DB" w:sz="4"/>
              <w:left w:val="single" w:color="D1D5DB" w:sz="4"/>
              <w:bottom w:val="single" w:color="D1D5DB" w:sz="4"/>
              <w:right w:val="single" w:color="D1D5DB" w:sz="4"/>
            </w:tcBorders>
            <w:shd w:fill="F9FAFB" w:val="clear"/>
            <w:tcMar>
              <w:top w:type="dxa" w:w="80"/>
              <w:left w:type="dxa" w:w="160"/>
              <w:bottom w:type="dxa" w:w="80"/>
              <w:right w:type="dxa" w:w="160"/>
            </w:tcMar>
            <w:vAlign w:val="center"/>
          </w:tcPr>
          <w:p>
            <w:pPr>
              <w:jc w:val="center"/>
            </w:pPr>
            <w:r>
              <w:rPr>
                <w:rFonts w:ascii="Calibri" w:cs="Calibri" w:eastAsia="Calibri" w:hAnsi="Calibri"/>
                <w:b/>
                <w:bCs/>
                <w:color w:val="374151"/>
                <w:sz w:val="20"/>
                <w:szCs w:val="20"/>
              </w:rPr>
              <w:t xml:space="preserve">Q3 2026</w:t>
            </w:r>
          </w:p>
        </w:tc>
        <w:tc>
          <w:tcPr>
            <w:tcW w:type="dxa" w:w="38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Bitcoin Ordinal minting for evidence packets. Tamper-proof, blockchain-timestamped chain of custody for law enforcement and insurance use.</w:t>
            </w:r>
          </w:p>
        </w:tc>
      </w:tr>
      <w:tr>
        <w:trPr>
          <w:cantSplit/>
        </w:trP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Square Ecosystem Deepening</w:t>
            </w:r>
          </w:p>
        </w:tc>
        <w:tc>
          <w:tcPr>
            <w:tcW w:type="dxa" w:w="1600"/>
            <w:tcBorders>
              <w:top w:val="single" w:color="D1D5DB" w:sz="4"/>
              <w:left w:val="single" w:color="D1D5DB" w:sz="4"/>
              <w:bottom w:val="single" w:color="D1D5DB" w:sz="4"/>
              <w:right w:val="single" w:color="D1D5DB" w:sz="4"/>
            </w:tcBorders>
            <w:shd w:fill="F9FAFB" w:val="clear"/>
            <w:tcMar>
              <w:top w:type="dxa" w:w="80"/>
              <w:left w:type="dxa" w:w="160"/>
              <w:bottom w:type="dxa" w:w="80"/>
              <w:right w:type="dxa" w:w="160"/>
            </w:tcMar>
            <w:vAlign w:val="center"/>
          </w:tcPr>
          <w:p>
            <w:pPr>
              <w:jc w:val="center"/>
            </w:pPr>
            <w:r>
              <w:rPr>
                <w:rFonts w:ascii="Calibri" w:cs="Calibri" w:eastAsia="Calibri" w:hAnsi="Calibri"/>
                <w:b/>
                <w:bCs/>
                <w:color w:val="374151"/>
                <w:sz w:val="20"/>
                <w:szCs w:val="20"/>
              </w:rPr>
              <w:t xml:space="preserve">Q3 2026</w:t>
            </w:r>
          </w:p>
        </w:tc>
        <w:tc>
          <w:tcPr>
            <w:tcW w:type="dxa" w:w="38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Square for Restaurants, Square for Retail, Teams API, Appointments integration. Vertical-specific fraud rules.</w:t>
            </w:r>
          </w:p>
        </w:tc>
      </w:tr>
      <w:tr>
        <w:trPr>
          <w:cantSplit/>
        </w:trPr>
        <w:tc>
          <w:tcPr>
            <w:tcW w:type="dxa" w:w="3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Agentic Threat Defense</w:t>
            </w:r>
          </w:p>
        </w:tc>
        <w:tc>
          <w:tcPr>
            <w:tcW w:type="dxa" w:w="1600"/>
            <w:tcBorders>
              <w:top w:val="single" w:color="D1D5DB" w:sz="4"/>
              <w:left w:val="single" w:color="D1D5DB" w:sz="4"/>
              <w:bottom w:val="single" w:color="D1D5DB" w:sz="4"/>
              <w:right w:val="single" w:color="D1D5DB" w:sz="4"/>
            </w:tcBorders>
            <w:shd w:fill="F9FAFB" w:val="clear"/>
            <w:tcMar>
              <w:top w:type="dxa" w:w="80"/>
              <w:left w:type="dxa" w:w="160"/>
              <w:bottom w:type="dxa" w:w="80"/>
              <w:right w:type="dxa" w:w="160"/>
            </w:tcMar>
            <w:vAlign w:val="center"/>
          </w:tcPr>
          <w:p>
            <w:pPr>
              <w:jc w:val="center"/>
            </w:pPr>
            <w:r>
              <w:rPr>
                <w:rFonts w:ascii="Calibri" w:cs="Calibri" w:eastAsia="Calibri" w:hAnsi="Calibri"/>
                <w:b/>
                <w:bCs/>
                <w:color w:val="374151"/>
                <w:sz w:val="20"/>
                <w:szCs w:val="20"/>
              </w:rPr>
              <w:t xml:space="preserve">Q3 2026</w:t>
            </w:r>
          </w:p>
        </w:tc>
        <w:tc>
          <w:tcPr>
            <w:tcW w:type="dxa" w:w="38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Behavioral fingerprinting, bot and CUA detection for agentic fraud, synthetic identity clustering, QR code HMAC tamper detection.</w:t>
            </w:r>
          </w:p>
        </w:tc>
      </w:tr>
      <w:tr>
        <w:trPr>
          <w:cantSplit/>
        </w:trPr>
        <w:tc>
          <w:tcPr>
            <w:tcW w:type="dxa" w:w="3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Multi-POS Abstraction (Clover)</w:t>
            </w:r>
          </w:p>
        </w:tc>
        <w:tc>
          <w:tcPr>
            <w:tcW w:type="dxa" w:w="1600"/>
            <w:tcBorders>
              <w:top w:val="single" w:color="D1D5DB" w:sz="4"/>
              <w:left w:val="single" w:color="D1D5DB" w:sz="4"/>
              <w:bottom w:val="single" w:color="D1D5DB" w:sz="4"/>
              <w:right w:val="single" w:color="D1D5DB" w:sz="4"/>
            </w:tcBorders>
            <w:shd w:fill="F9FAFB" w:val="clear"/>
            <w:tcMar>
              <w:top w:type="dxa" w:w="80"/>
              <w:left w:type="dxa" w:w="160"/>
              <w:bottom w:type="dxa" w:w="80"/>
              <w:right w:type="dxa" w:w="160"/>
            </w:tcMar>
            <w:vAlign w:val="center"/>
          </w:tcPr>
          <w:p>
            <w:pPr>
              <w:jc w:val="center"/>
            </w:pPr>
            <w:r>
              <w:rPr>
                <w:rFonts w:ascii="Calibri" w:cs="Calibri" w:eastAsia="Calibri" w:hAnsi="Calibri"/>
                <w:b/>
                <w:bCs/>
                <w:color w:val="374151"/>
                <w:sz w:val="20"/>
                <w:szCs w:val="20"/>
              </w:rPr>
              <w:t xml:space="preserve">Post-Approval</w:t>
            </w:r>
          </w:p>
        </w:tc>
        <w:tc>
          <w:tcPr>
            <w:tcW w:type="dxa" w:w="38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Canonical transaction schema enabling Clover and future POS integrations. Platform-agnostic architecture established before any Clover development begins.</w:t>
            </w:r>
          </w:p>
        </w:tc>
      </w:tr>
    </w:tbl>
    <w:p>
      <w:pPr>
        <w:spacing w:before="0" w:after="120"/>
      </w:pPr>
      <w:r>
        <w:rPr>
          <w:rFonts w:ascii="Calibri" w:cs="Calibri" w:eastAsia="Calibri" w:hAnsi="Calibri"/>
          <w:sz w:val="22"/>
          <w:szCs w:val="22"/>
        </w:rPr>
        <w:t xml:space="preserve"/>
      </w:r>
    </w:p>
    <w:p>
      <w:pPr>
        <w:pStyle w:val="Heading1"/>
        <w:keepNext/>
        <w:pBdr>
          <w:bottom w:val="single" w:color="FBBF24" w:sz="6" w:space="4"/>
        </w:pBdr>
        <w:spacing w:before="200" w:after="100"/>
      </w:pPr>
      <w:r>
        <w:rPr>
          <w:rFonts w:ascii="Calibri" w:cs="Calibri" w:eastAsia="Calibri" w:hAnsi="Calibri"/>
          <w:b/>
          <w:bCs/>
          <w:color w:val="FBBF24"/>
          <w:sz w:val="28"/>
          <w:szCs w:val="28"/>
        </w:rPr>
        <w:t xml:space="preserve">8. Contact and Submission Information</w:t>
      </w:r>
    </w:p>
    <w:p>
      <w:pPr>
        <w:spacing w:before="0" w:after="60"/>
      </w:pPr>
      <w:r>
        <w:rPr>
          <w:rFonts w:ascii="Calibri" w:cs="Calibri" w:eastAsia="Calibri" w:hAnsi="Calibri"/>
          <w:sz w:val="22"/>
          <w:szCs w:val="22"/>
        </w:rPr>
        <w:t xml:space="preserve"/>
      </w:r>
    </w:p>
    <w:p>
      <w:pPr>
        <w:spacing w:before="0" w:after="140"/>
      </w:pPr>
      <w:r>
        <w:rPr>
          <w:rFonts w:ascii="Calibri" w:cs="Calibri" w:eastAsia="Calibri" w:hAnsi="Calibri"/>
          <w:color w:val="333333"/>
          <w:sz w:val="22"/>
          <w:szCs w:val="22"/>
        </w:rPr>
        <w:t xml:space="preserve">Canary LP is a product of GrowDirect. For questions related to this submission, scope clarification, or security review requests, please contact the Canary team directly.</w:t>
      </w:r>
    </w:p>
    <w:p>
      <w:pPr>
        <w:spacing w:before="0" w:after="60"/>
      </w:pPr>
      <w:r>
        <w:rPr>
          <w:rFonts w:ascii="Calibri" w:cs="Calibri" w:eastAsia="Calibri" w:hAnsi="Calibri"/>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00"/>
        <w:gridCol w:w="5840"/>
      </w:tblGrid>
      <w:tr>
        <w:tc>
          <w:tcPr>
            <w:tcW w:type="dxa" w:w="280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Item</w:t>
            </w:r>
          </w:p>
        </w:tc>
        <w:tc>
          <w:tcPr>
            <w:tcW w:type="dxa" w:w="5840"/>
            <w:tcBorders>
              <w:top w:val="single" w:color="374151" w:sz="4"/>
              <w:left w:val="single" w:color="374151" w:sz="4"/>
              <w:bottom w:val="single" w:color="374151" w:sz="4"/>
              <w:right w:val="single" w:color="374151" w:sz="4"/>
            </w:tcBorders>
            <w:shd w:fill="0D1117" w:val="clear"/>
            <w:tcMar>
              <w:top w:type="dxa" w:w="100"/>
              <w:left w:type="dxa" w:w="160"/>
              <w:bottom w:type="dxa" w:w="100"/>
              <w:right w:type="dxa" w:w="160"/>
            </w:tcMar>
            <w:vAlign w:val="center"/>
          </w:tcPr>
          <w:p>
            <w:r>
              <w:rPr>
                <w:rFonts w:ascii="Calibri" w:cs="Calibri" w:eastAsia="Calibri" w:hAnsi="Calibri"/>
                <w:b/>
                <w:bCs/>
                <w:color w:val="FBBF24"/>
                <w:sz w:val="20"/>
                <w:szCs w:val="20"/>
              </w:rPr>
              <w:t xml:space="preserve">Detail</w:t>
            </w:r>
          </w:p>
        </w:tc>
      </w:tr>
      <w:tr>
        <w:trPr>
          <w:cantSplit/>
        </w:trP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Product Name</w:t>
            </w:r>
          </w:p>
        </w:tc>
        <w:tc>
          <w:tcPr>
            <w:tcW w:type="dxa" w:w="58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Canary LP — Early Warning Loss Prevention</w:t>
            </w:r>
          </w:p>
        </w:tc>
      </w:tr>
      <w:tr>
        <w:trPr>
          <w:cantSplit/>
        </w:trPr>
        <w:tc>
          <w:tcPr>
            <w:tcW w:type="dxa" w:w="2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Parent Company</w:t>
            </w:r>
          </w:p>
        </w:tc>
        <w:tc>
          <w:tcPr>
            <w:tcW w:type="dxa" w:w="58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GrowDirect</w:t>
            </w:r>
          </w:p>
        </w:tc>
      </w:tr>
      <w:tr>
        <w:trPr>
          <w:cantSplit/>
        </w:trP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Square SDK Version</w:t>
            </w:r>
          </w:p>
        </w:tc>
        <w:tc>
          <w:tcPr>
            <w:tcW w:type="dxa" w:w="58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Square Python SDK v44+</w:t>
            </w:r>
          </w:p>
        </w:tc>
      </w:tr>
      <w:tr>
        <w:trPr>
          <w:cantSplit/>
        </w:trPr>
        <w:tc>
          <w:tcPr>
            <w:tcW w:type="dxa" w:w="2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APIs Used</w:t>
            </w:r>
          </w:p>
        </w:tc>
        <w:tc>
          <w:tcPr>
            <w:tcW w:type="dxa" w:w="58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OAuth 2.0, Payments API, Webhooks API, Orders API</w:t>
            </w:r>
          </w:p>
        </w:tc>
      </w:tr>
      <w:tr>
        <w:trPr>
          <w:cantSplit/>
        </w:trPr>
        <w:tc>
          <w:tcPr>
            <w:tcW w:type="dxa" w:w="28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Tech Stack</w:t>
            </w:r>
          </w:p>
        </w:tc>
        <w:tc>
          <w:tcPr>
            <w:tcW w:type="dxa" w:w="584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Python 3.10+ / Flask / PostgreSQL / AWS / Docker</w:t>
            </w:r>
          </w:p>
        </w:tc>
      </w:tr>
      <w:tr>
        <w:trPr>
          <w:cantSplit/>
        </w:trPr>
        <w:tc>
          <w:tcPr>
            <w:tcW w:type="dxa" w:w="28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bCs/>
                <w:color w:val="222222"/>
                <w:sz w:val="20"/>
                <w:szCs w:val="20"/>
              </w:rPr>
              <w:t xml:space="preserve">Document Version</w:t>
            </w:r>
          </w:p>
        </w:tc>
        <w:tc>
          <w:tcPr>
            <w:tcW w:type="dxa" w:w="584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60"/>
            </w:tcMar>
            <w:vAlign w:val="top"/>
          </w:tcPr>
          <w:p>
            <w:r>
              <w:rPr>
                <w:rFonts w:ascii="Calibri" w:cs="Calibri" w:eastAsia="Calibri" w:hAnsi="Calibri"/>
                <w:b w:val="false"/>
                <w:bCs w:val="false"/>
                <w:color w:val="333333"/>
                <w:sz w:val="20"/>
                <w:szCs w:val="20"/>
              </w:rPr>
              <w:t xml:space="preserve">v1.0 — February 2026</w:t>
            </w:r>
          </w:p>
        </w:tc>
      </w:tr>
    </w:tbl>
    <w:p>
      <w:pPr>
        <w:spacing w:before="0" w:after="60"/>
      </w:pPr>
      <w:r>
        <w:rPr>
          <w:rFonts w:ascii="Calibri" w:cs="Calibri" w:eastAsia="Calibri" w:hAnsi="Calibri"/>
          <w:sz w:val="22"/>
          <w:szCs w:val="22"/>
        </w:rPr>
        <w:t xml:space="preserve"/>
      </w:r>
    </w:p>
    <w:p>
      <w:pPr>
        <w:pBdr>
          <w:top w:val="single" w:color="E5E7EB" w:sz="4"/>
        </w:pBdr>
        <w:spacing w:before="160" w:after="0"/>
        <w:jc w:val="center"/>
      </w:pPr>
      <w:r>
        <w:rPr>
          <w:rFonts w:ascii="Calibri" w:cs="Calibri" w:eastAsia="Calibri" w:hAnsi="Calibri"/>
          <w:color w:val="9CA3AF"/>
          <w:sz w:val="18"/>
          <w:szCs w:val="18"/>
        </w:rPr>
        <w:t xml:space="preserve">Canary LP  |  GrowDirect  |  Confidential  |  MVP Scope &amp; Sprint Plan v1.0  |  February 2026</w:t>
      </w:r>
    </w:p>
    <w:sectPr>
      <w:headerReference w:type="default" r:id="rId10"/>
      <w:footerReference w:type="default" r:id="rId11"/>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74151" w:sz="4" w:space="4"/>
      </w:pBdr>
      <w:tabs>
        <w:tab w:val="right" w:pos="8640"/>
      </w:tabs>
      <w:spacing w:before="120" w:after="0"/>
    </w:pPr>
    <w:r>
      <w:rPr>
        <w:rFonts w:ascii="Calibri" w:cs="Calibri" w:eastAsia="Calibri" w:hAnsi="Calibri"/>
        <w:color w:val="4B5563"/>
        <w:sz w:val="18"/>
        <w:szCs w:val="18"/>
      </w:rPr>
      <w:t xml:space="preserve">Canary LP  |  Confidential</w:t>
    </w:r>
    <w:r>
      <w:rPr>
        <w:rFonts w:ascii="Calibri" w:cs="Calibri" w:eastAsia="Calibri" w:hAnsi="Calibri"/>
        <w:color w:val="4B5563"/>
        <w:sz w:val="18"/>
        <w:szCs w:val="18"/>
      </w:rPr>
      <w:t xml:space="preserve">	Page </w:t>
    </w:r>
    <w:r>
      <w:rPr>
        <w:rFonts w:ascii="Calibri" w:cs="Calibri" w:eastAsia="Calibri" w:hAnsi="Calibri"/>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BBF24" w:sz="4" w:space="4"/>
      </w:pBdr>
      <w:tabs>
        <w:tab w:val="right" w:pos="8640"/>
      </w:tabs>
      <w:spacing w:before="0" w:after="120"/>
    </w:pPr>
    <w:r>
      <w:rPr>
        <w:rFonts w:ascii="Calibri" w:cs="Calibri" w:eastAsia="Calibri" w:hAnsi="Calibri"/>
        <w:b/>
        <w:bCs/>
        <w:color w:val="FBBF24"/>
        <w:sz w:val="18"/>
        <w:szCs w:val="18"/>
      </w:rPr>
      <w:t xml:space="preserve">CANARY LP</w:t>
    </w:r>
    <w:r>
      <w:rPr>
        <w:rFonts w:ascii="Calibri" w:cs="Calibri" w:eastAsia="Calibri" w:hAnsi="Calibri"/>
        <w:color w:val="4B5563"/>
        <w:sz w:val="18"/>
        <w:szCs w:val="18"/>
      </w:rPr>
      <w:t xml:space="preserve">	MVP Scope &amp; Sprint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60"/>
        <w:ind w:left="560" w:hanging="280"/>
      </w:pPr>
    </w:lvl>
  </w:abstractNum>
  <w:abstractNum w:abstractNumId="3" w15:restartNumberingAfterBreak="0">
    <w:multiLevelType w:val="hybridMultilevel"/>
    <w:lvl w:ilvl="0" w15:tentative="1">
      <w:start w:val="1"/>
      <w:numFmt w:val="decimal"/>
      <w:lvlText w:val="%1."/>
      <w:lvlJc w:val="left"/>
      <w:pPr>
        <w:spacing w:before="40" w:after="60"/>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Calibri" w:cs="Calibri" w:eastAsia="Calibri" w:hAnsi="Calibri"/>
      <w:b/>
      <w:bCs/>
      <w:color w:val="FBBF24"/>
      <w:sz w:val="28"/>
      <w:szCs w:val="28"/>
    </w:rPr>
  </w:style>
  <w:style w:type="paragraph" w:styleId="Heading2">
    <w:name w:val="Heading 2"/>
    <w:basedOn w:val="Normal"/>
    <w:next w:val="Normal"/>
    <w:qFormat/>
    <w:pPr>
      <w:spacing w:before="240" w:after="80"/>
      <w:outlineLvl w:val="1"/>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2026-02-19T20:35:39.017Z</dcterms:created>
  <dcterms:modified xsi:type="dcterms:W3CDTF">2026-02-19T20:35:39.018Z</dcterms:modified>
</cp:coreProperties>
</file>

<file path=docProps/custom.xml><?xml version="1.0" encoding="utf-8"?>
<Properties xmlns="http://schemas.openxmlformats.org/officeDocument/2006/custom-properties" xmlns:vt="http://schemas.openxmlformats.org/officeDocument/2006/docPropsVTypes"/>
</file>