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0"/>
        <w:jc w:val="center"/>
      </w:pPr>
      <w:r>
        <w:rPr>
          <w:rFonts w:ascii="Arial" w:cs="Arial" w:eastAsia="Arial" w:hAnsi="Arial"/>
          <w:b/>
          <w:bCs/>
          <w:color w:val="1A1A2E"/>
          <w:sz w:val="72"/>
          <w:szCs w:val="72"/>
        </w:rPr>
        <w:t xml:space="preserve">CANARY</w:t>
      </w:r>
    </w:p>
    <w:p>
      <w:pPr>
        <w:spacing w:after="120" w:before="0"/>
        <w:jc w:val="center"/>
      </w:pPr>
      <w:r>
        <w:rPr>
          <w:rFonts w:ascii="Arial" w:cs="Arial" w:eastAsia="Arial" w:hAnsi="Arial"/>
          <w:color w:val="D4A843"/>
          <w:sz w:val="56"/>
          <w:szCs w:val="56"/>
        </w:rPr>
        <w:t xml:space="preserve">HEALTH CHECK</w:t>
      </w:r>
    </w:p>
    <w:p>
      <w:pPr>
        <w:spacing w:after="0" w:before="200"/>
      </w:pPr>
    </w:p>
    <w:p>
      <w:pPr>
        <w:pBdr>
          <w:top w:val="single" w:color="D4A843" w:sz="2" w:space="12"/>
        </w:pBdr>
        <w:spacing w:after="120" w:before="200"/>
        <w:jc w:val="center"/>
      </w:pPr>
      <w:r>
        <w:rPr>
          <w:rFonts w:ascii="Arial" w:cs="Arial" w:eastAsia="Arial" w:hAnsi="Arial"/>
          <w:i/>
          <w:iCs/>
          <w:color w:val="2E4057"/>
          <w:sz w:val="32"/>
          <w:szCs w:val="32"/>
        </w:rPr>
        <w:t xml:space="preserve">A Consultant in a Box</w:t>
      </w:r>
    </w:p>
    <w:p>
      <w:pPr>
        <w:spacing w:after="0" w:before="100"/>
      </w:pPr>
    </w:p>
    <w:p>
      <w:pPr>
        <w:spacing w:after="80"/>
        <w:jc w:val="center"/>
      </w:pPr>
      <w:r>
        <w:rPr>
          <w:rFonts w:ascii="Arial" w:cs="Arial" w:eastAsia="Arial" w:hAnsi="Arial"/>
          <w:color w:val="6B7280"/>
          <w:sz w:val="24"/>
          <w:szCs w:val="24"/>
        </w:rPr>
        <w:t xml:space="preserve">Product Brief v1.0</w:t>
      </w:r>
    </w:p>
    <w:p>
      <w:pPr>
        <w:spacing w:after="80"/>
        <w:jc w:val="center"/>
      </w:pPr>
      <w:r>
        <w:rPr>
          <w:rFonts w:ascii="Arial" w:cs="Arial" w:eastAsia="Arial" w:hAnsi="Arial"/>
          <w:color w:val="6B7280"/>
          <w:sz w:val="24"/>
          <w:szCs w:val="24"/>
        </w:rPr>
        <w:t xml:space="preserve">March 2026</w:t>
      </w:r>
    </w:p>
    <w:p>
      <w:pPr>
        <w:spacing w:after="0" w:before="600"/>
      </w:pPr>
    </w:p>
    <w:p>
      <w:pPr>
        <w:spacing w:after="80"/>
        <w:jc w:val="center"/>
      </w:pPr>
      <w:r>
        <w:rPr>
          <w:rFonts w:ascii="Arial" w:cs="Arial" w:eastAsia="Arial" w:hAnsi="Arial"/>
          <w:b/>
          <w:bCs/>
          <w:color w:val="1A1A2E"/>
          <w:sz w:val="22"/>
          <w:szCs w:val="22"/>
        </w:rPr>
        <w:t xml:space="preserve">GrowDirect Inc.</w:t>
      </w:r>
    </w:p>
    <w:p>
      <w:pPr>
        <w:jc w:val="center"/>
      </w:pPr>
      <w:r>
        <w:rPr>
          <w:rFonts w:ascii="Arial" w:cs="Arial" w:eastAsia="Arial" w:hAnsi="Arial"/>
          <w:i/>
          <w:iCs/>
          <w:color w:val="6B7280"/>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1A2E"/>
          <w:sz w:val="36"/>
          <w:szCs w:val="36"/>
        </w:rPr>
        <w:t xml:space="preserve">The Problem</w:t>
      </w:r>
    </w:p>
    <w:p>
      <w:pPr>
        <w:spacing w:after="120" w:before="0"/>
        <w:jc w:val="left"/>
      </w:pPr>
      <w:r>
        <w:rPr>
          <w:rFonts w:ascii="Arial" w:cs="Arial" w:eastAsia="Arial" w:hAnsi="Arial"/>
          <w:b w:val="false"/>
          <w:bCs w:val="false"/>
          <w:i w:val="false"/>
          <w:iCs w:val="false"/>
          <w:color w:val="333333"/>
          <w:sz w:val="22"/>
          <w:szCs w:val="22"/>
        </w:rPr>
        <w:t xml:space="preserve">Loss prevention is a $100 billion problem. Every Square merchant deals with it. Almost none of them can afford to do anything about it.</w:t>
      </w:r>
    </w:p>
    <w:p>
      <w:pPr>
        <w:spacing w:after="120" w:before="0"/>
        <w:jc w:val="left"/>
      </w:pPr>
      <w:r>
        <w:rPr>
          <w:rFonts w:ascii="Arial" w:cs="Arial" w:eastAsia="Arial" w:hAnsi="Arial"/>
          <w:b w:val="false"/>
          <w:bCs w:val="false"/>
          <w:i w:val="false"/>
          <w:iCs w:val="false"/>
          <w:color w:val="333333"/>
          <w:sz w:val="22"/>
          <w:szCs w:val="22"/>
        </w:rPr>
        <w:t xml:space="preserve">The enterprise retailers have full LP departments, forensic analysts, and seven-figure SaaS contracts. The small and mid-market merchant has a gut feeling and a spreadsheet. They know something is off. They can see the refund numbers climbing. They suspect an employee is gaming discounts. But they have no tools, no time, and no budget for a loss prevention consultant who charges $300 an hour.</w:t>
      </w:r>
    </w:p>
    <w:p>
      <w:pPr>
        <w:spacing w:after="120" w:before="0"/>
        <w:jc w:val="left"/>
      </w:pPr>
      <w:r>
        <w:rPr>
          <w:rFonts w:ascii="Arial" w:cs="Arial" w:eastAsia="Arial" w:hAnsi="Arial"/>
          <w:b w:val="false"/>
          <w:bCs w:val="false"/>
          <w:i w:val="false"/>
          <w:iCs w:val="false"/>
          <w:color w:val="333333"/>
          <w:sz w:val="22"/>
          <w:szCs w:val="22"/>
        </w:rPr>
        <w:t xml:space="preserve">The SaaS options are worse. Every platform on the market demands the same thing: commit to a monthly subscription, integrate your data permanently, learn our dashboard, manage ongoing workflows, and hope you get value before the annual contract renews. For a merchant running three locations and doing $2M in annual revenue, that is not loss prevention. That is another job.</w:t>
      </w:r>
    </w:p>
    <w:p>
      <w:pPr>
        <w:pBdr>
          <w:left w:val="single" w:color="D4A843" w:sz="6" w:space="12"/>
        </w:pBdr>
        <w:spacing w:after="200" w:before="200"/>
        <w:ind w:left="720" w:right="720"/>
      </w:pPr>
      <w:r>
        <w:rPr>
          <w:rFonts w:ascii="Arial" w:cs="Arial" w:eastAsia="Arial" w:hAnsi="Arial"/>
          <w:i/>
          <w:iCs/>
          <w:color w:val="2E4057"/>
          <w:sz w:val="22"/>
          <w:szCs w:val="22"/>
        </w:rPr>
        <w:t xml:space="preserve">We do not want to add to the stress. We want to ease it.</w:t>
      </w:r>
    </w:p>
    <w:p>
      <w:pPr>
        <w:spacing w:after="120" w:before="0"/>
        <w:jc w:val="left"/>
      </w:pPr>
      <w:r>
        <w:rPr>
          <w:rFonts w:ascii="Arial" w:cs="Arial" w:eastAsia="Arial" w:hAnsi="Arial"/>
          <w:b w:val="false"/>
          <w:bCs w:val="false"/>
          <w:i w:val="false"/>
          <w:iCs w:val="false"/>
          <w:color w:val="333333"/>
          <w:sz w:val="22"/>
          <w:szCs w:val="22"/>
        </w:rPr>
        <w:t xml:space="preserve">The Canary Health Check is the answer to a question no one in this market has asked: what if loss prevention worked like a doctor visit instead of a full-time hire?</w:t>
      </w:r>
    </w:p>
    <w:p>
      <w:pPr>
        <w:pStyle w:val="Heading1"/>
        <w:spacing w:after="200" w:before="360"/>
      </w:pPr>
      <w:r>
        <w:rPr>
          <w:rFonts w:ascii="Arial" w:cs="Arial" w:eastAsia="Arial" w:hAnsi="Arial"/>
          <w:b/>
          <w:bCs/>
          <w:color w:val="1A1A2E"/>
          <w:sz w:val="36"/>
          <w:szCs w:val="36"/>
        </w:rPr>
        <w:t xml:space="preserve">The Product: A Consultant in a Box</w:t>
      </w:r>
    </w:p>
    <w:p>
      <w:pPr>
        <w:spacing w:after="120" w:before="0"/>
        <w:jc w:val="left"/>
      </w:pPr>
      <w:r>
        <w:rPr>
          <w:rFonts w:ascii="Arial" w:cs="Arial" w:eastAsia="Arial" w:hAnsi="Arial"/>
          <w:b w:val="false"/>
          <w:bCs w:val="false"/>
          <w:i w:val="false"/>
          <w:iCs w:val="false"/>
          <w:color w:val="333333"/>
          <w:sz w:val="22"/>
          <w:szCs w:val="22"/>
        </w:rPr>
        <w:t xml:space="preserve">The Canary Health Check is an on-demand retail intelligence audit. The merchant authorizes their Square account. Canary pulls their transaction history, serializes it into a structured data model, and runs a full analysis using the same AI engine that powers enterprise-grade loss prevention. The merchant receives their findings on an interactive board. They work the board. They push fixes directly to Square. When they are done, the session ends and the data is destroyed.</w:t>
      </w:r>
    </w:p>
    <w:p>
      <w:pPr>
        <w:spacing w:after="120" w:before="0"/>
        <w:jc w:val="left"/>
      </w:pPr>
      <w:r>
        <w:rPr>
          <w:rFonts w:ascii="Arial" w:cs="Arial" w:eastAsia="Arial" w:hAnsi="Arial"/>
          <w:b w:val="false"/>
          <w:bCs w:val="false"/>
          <w:i w:val="false"/>
          <w:iCs w:val="false"/>
          <w:color w:val="333333"/>
          <w:sz w:val="22"/>
          <w:szCs w:val="22"/>
        </w:rPr>
        <w:t xml:space="preserve">No subscription. No onboarding calls. No dashboard to learn. No support tickets. No ongoing anything.</w:t>
      </w:r>
    </w:p>
    <w:p>
      <w:pPr>
        <w:spacing w:after="120" w:before="0"/>
        <w:jc w:val="left"/>
      </w:pPr>
      <w:r>
        <w:rPr>
          <w:rFonts w:ascii="Arial" w:cs="Arial" w:eastAsia="Arial" w:hAnsi="Arial"/>
          <w:i w:val="false"/>
          <w:iCs w:val="false"/>
          <w:color w:val="333333"/>
          <w:sz w:val="22"/>
          <w:szCs w:val="22"/>
        </w:rPr>
        <w:t xml:space="preserve">Think of it as </w:t>
      </w:r>
      <w:r>
        <w:rPr>
          <w:rFonts w:ascii="Arial" w:cs="Arial" w:eastAsia="Arial" w:hAnsi="Arial"/>
          <w:b/>
          <w:bCs/>
          <w:color w:val="333333"/>
          <w:sz w:val="22"/>
          <w:szCs w:val="22"/>
        </w:rPr>
        <w:t xml:space="preserve">speedtest.net for your store</w:t>
      </w:r>
      <w:r>
        <w:rPr>
          <w:rFonts w:ascii="Arial" w:cs="Arial" w:eastAsia="Arial" w:hAnsi="Arial"/>
          <w:color w:val="333333"/>
          <w:sz w:val="22"/>
          <w:szCs w:val="22"/>
        </w:rPr>
        <w:t xml:space="preserve">. You do not hire Speedtest full-time. You run it when you want to know your number. Canary works the same way. You run it when you want to know what is happening in your store. It shows you. You act on it. Done.</w:t>
      </w:r>
    </w:p>
    <w:p>
      <w:pPr>
        <w:pStyle w:val="Heading2"/>
        <w:spacing w:after="160" w:before="280"/>
      </w:pPr>
      <w:r>
        <w:rPr>
          <w:rFonts w:ascii="Arial" w:cs="Arial" w:eastAsia="Arial" w:hAnsi="Arial"/>
          <w:b/>
          <w:bCs/>
          <w:color w:val="2E4057"/>
          <w:sz w:val="28"/>
          <w:szCs w:val="28"/>
        </w:rPr>
        <w:t xml:space="preserve">How It Works</w:t>
      </w:r>
    </w:p>
    <w:p>
      <w:pPr>
        <w:pStyle w:val="ListParagraph"/>
        <w:numPr>
          <w:ilvl w:val="0"/>
          <w:numId w:val="2"/>
        </w:numPr>
        <w:spacing w:after="40" w:before="40"/>
      </w:pPr>
      <w:r>
        <w:rPr>
          <w:rFonts w:ascii="Arial" w:cs="Arial" w:eastAsia="Arial" w:hAnsi="Arial"/>
          <w:b/>
          <w:bCs/>
          <w:color w:val="333333"/>
          <w:sz w:val="22"/>
          <w:szCs w:val="22"/>
        </w:rPr>
        <w:t xml:space="preserve">Authorize: </w:t>
      </w:r>
      <w:r>
        <w:rPr>
          <w:rFonts w:ascii="Arial" w:cs="Arial" w:eastAsia="Arial" w:hAnsi="Arial"/>
          <w:color w:val="333333"/>
          <w:sz w:val="22"/>
          <w:szCs w:val="22"/>
        </w:rPr>
        <w:t xml:space="preserve">One-tap Square OAuth. The merchant grants read access to their transaction history. No forms. No calls. No demos.</w:t>
      </w:r>
    </w:p>
    <w:p>
      <w:pPr>
        <w:pStyle w:val="ListParagraph"/>
        <w:numPr>
          <w:ilvl w:val="0"/>
          <w:numId w:val="2"/>
        </w:numPr>
        <w:spacing w:after="40" w:before="40"/>
      </w:pPr>
      <w:r>
        <w:rPr>
          <w:rFonts w:ascii="Arial" w:cs="Arial" w:eastAsia="Arial" w:hAnsi="Arial"/>
          <w:b/>
          <w:bCs/>
          <w:color w:val="333333"/>
          <w:sz w:val="22"/>
          <w:szCs w:val="22"/>
        </w:rPr>
        <w:t xml:space="preserve">Analyze: </w:t>
      </w:r>
      <w:r>
        <w:rPr>
          <w:rFonts w:ascii="Arial" w:cs="Arial" w:eastAsia="Arial" w:hAnsi="Arial"/>
          <w:color w:val="333333"/>
          <w:sz w:val="22"/>
          <w:szCs w:val="22"/>
        </w:rPr>
        <w:t xml:space="preserve">Canary pulls up to 18 months of history through the Square APIs. Every transaction, refund, void, discount, cash event, timecard, and gift card is serialized into the Canary Retail Data Model (CRDM) and loaded into an ephemeral analysis environment.</w:t>
      </w:r>
    </w:p>
    <w:p>
      <w:pPr>
        <w:pStyle w:val="ListParagraph"/>
        <w:numPr>
          <w:ilvl w:val="0"/>
          <w:numId w:val="2"/>
        </w:numPr>
        <w:spacing w:after="40" w:before="40"/>
      </w:pPr>
      <w:r>
        <w:rPr>
          <w:rFonts w:ascii="Arial" w:cs="Arial" w:eastAsia="Arial" w:hAnsi="Arial"/>
          <w:b/>
          <w:bCs/>
          <w:color w:val="333333"/>
          <w:sz w:val="22"/>
          <w:szCs w:val="22"/>
        </w:rPr>
        <w:t xml:space="preserve">Detect: </w:t>
      </w:r>
      <w:r>
        <w:rPr>
          <w:rFonts w:ascii="Arial" w:cs="Arial" w:eastAsia="Arial" w:hAnsi="Arial"/>
          <w:color w:val="333333"/>
          <w:sz w:val="22"/>
          <w:szCs w:val="22"/>
        </w:rPr>
        <w:t xml:space="preserve">29 detection rules across 7 categories fire against the full dataset. An AI engine with a 14-billion parameter neural network analyzes the findings, correlates patterns across employees, locations, and time periods, and produces a Heartbeat: the store's overall health score.</w:t>
      </w:r>
    </w:p>
    <w:p>
      <w:pPr>
        <w:pStyle w:val="ListParagraph"/>
        <w:numPr>
          <w:ilvl w:val="0"/>
          <w:numId w:val="2"/>
        </w:numPr>
        <w:spacing w:after="40" w:before="40"/>
      </w:pPr>
      <w:r>
        <w:rPr>
          <w:rFonts w:ascii="Arial" w:cs="Arial" w:eastAsia="Arial" w:hAnsi="Arial"/>
          <w:b/>
          <w:bCs/>
          <w:color w:val="333333"/>
          <w:sz w:val="22"/>
          <w:szCs w:val="22"/>
        </w:rPr>
        <w:t xml:space="preserve">Work: </w:t>
      </w:r>
      <w:r>
        <w:rPr>
          <w:rFonts w:ascii="Arial" w:cs="Arial" w:eastAsia="Arial" w:hAnsi="Arial"/>
          <w:color w:val="333333"/>
          <w:sz w:val="22"/>
          <w:szCs w:val="22"/>
        </w:rPr>
        <w:t xml:space="preserve">Findings appear on a kanban board. Each card shows what was found, why it matters, the estimated dollar impact, and what to do about it. The merchant can generate a memo, export a CSV, push a configuration change directly to Square, or dismiss the finding.</w:t>
      </w:r>
    </w:p>
    <w:p>
      <w:pPr>
        <w:pStyle w:val="ListParagraph"/>
        <w:numPr>
          <w:ilvl w:val="0"/>
          <w:numId w:val="2"/>
        </w:numPr>
        <w:spacing w:after="40" w:before="40"/>
      </w:pPr>
      <w:r>
        <w:rPr>
          <w:rFonts w:ascii="Arial" w:cs="Arial" w:eastAsia="Arial" w:hAnsi="Arial"/>
          <w:b/>
          <w:bCs/>
          <w:color w:val="333333"/>
          <w:sz w:val="22"/>
          <w:szCs w:val="22"/>
        </w:rPr>
        <w:t xml:space="preserve">Done: </w:t>
      </w:r>
      <w:r>
        <w:rPr>
          <w:rFonts w:ascii="Arial" w:cs="Arial" w:eastAsia="Arial" w:hAnsi="Arial"/>
          <w:color w:val="333333"/>
          <w:sz w:val="22"/>
          <w:szCs w:val="22"/>
        </w:rPr>
        <w:t xml:space="preserve">Session ends. The ephemeral environment tears down. Data is destroyed. The only things that persist are what the merchant exported and what they pushed to Square.</w:t>
      </w:r>
    </w:p>
    <w:p>
      <w:pPr>
        <w:pStyle w:val="Heading2"/>
        <w:spacing w:after="160" w:before="280"/>
      </w:pPr>
      <w:r>
        <w:rPr>
          <w:rFonts w:ascii="Arial" w:cs="Arial" w:eastAsia="Arial" w:hAnsi="Arial"/>
          <w:b/>
          <w:bCs/>
          <w:color w:val="2E4057"/>
          <w:sz w:val="28"/>
          <w:szCs w:val="28"/>
        </w:rPr>
        <w:t xml:space="preserve">What the Analysis Covers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Finds</w:t>
            </w:r>
          </w:p>
        </w:tc>
        <w:tc>
          <w:tcPr>
            <w:tcW w:type="dxa" w:w="27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Rules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Payments</w:t>
            </w:r>
          </w:p>
        </w:tc>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Refund anomalies, split tender patterns, manual entry abuse, velocity spikes, delay holds</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 rules (C-001–C-011)</w:t>
            </w:r>
          </w:p>
        </w:tc>
      </w:tr>
      <w:tr>
        <w:tc>
          <w:tcPr>
            <w:tcW w:type="dxa" w:w="2200"/>
            <w:tcBorders>
              <w:top w:val="single" w:color="DDDDDD" w:sz="1"/>
              <w:left w:val="single" w:color="DDDDDD" w:sz="1"/>
              <w:bottom w:val="single" w:color="DDDDDD" w:sz="1"/>
              <w:right w:val="single" w:color="DDDDDD"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Cash Drawers</w:t>
            </w:r>
          </w:p>
        </w:tc>
        <w:tc>
          <w:tcPr>
            <w:tcW w:type="dxa" w:w="4400"/>
            <w:tcBorders>
              <w:top w:val="single" w:color="DDDDDD" w:sz="1"/>
              <w:left w:val="single" w:color="DDDDDD" w:sz="1"/>
              <w:bottom w:val="single" w:color="DDDDDD" w:sz="1"/>
              <w:right w:val="single" w:color="DDDDDD" w:sz="1"/>
            </w:tcBorders>
            <w:shd w:fill="F8F6F0" w:val="clear"/>
            <w:tcMar>
              <w:top w:type="dxa" w:w="80"/>
              <w:left w:type="dxa" w:w="120"/>
              <w:bottom w:type="dxa" w:w="80"/>
              <w:right w:type="dxa" w:w="120"/>
            </w:tcMar>
          </w:tcPr>
          <w:p>
            <w:r>
              <w:rPr>
                <w:rFonts w:ascii="Arial" w:cs="Arial" w:eastAsia="Arial" w:hAnsi="Arial"/>
                <w:b w:val="false"/>
                <w:bCs w:val="false"/>
                <w:color w:val="333333"/>
                <w:sz w:val="20"/>
                <w:szCs w:val="20"/>
              </w:rPr>
              <w:t xml:space="preserve">No-sale abuse, cash variance, unauthorized paid-outs, after-hours activity</w:t>
            </w:r>
          </w:p>
        </w:tc>
        <w:tc>
          <w:tcPr>
            <w:tcW w:type="dxa" w:w="2760"/>
            <w:tcBorders>
              <w:top w:val="single" w:color="DDDDDD" w:sz="1"/>
              <w:left w:val="single" w:color="DDDDDD" w:sz="1"/>
              <w:bottom w:val="single" w:color="DDDDDD" w:sz="1"/>
              <w:right w:val="single" w:color="DDDDDD" w:sz="1"/>
            </w:tcBorders>
            <w:shd w:fill="F8F6F0" w:val="clear"/>
            <w:tcMar>
              <w:top w:type="dxa" w:w="80"/>
              <w:left w:type="dxa" w:w="120"/>
              <w:bottom w:type="dxa" w:w="80"/>
              <w:right w:type="dxa" w:w="120"/>
            </w:tcMar>
          </w:tcPr>
          <w:p>
            <w:r>
              <w:rPr>
                <w:rFonts w:ascii="Arial" w:cs="Arial" w:eastAsia="Arial" w:hAnsi="Arial"/>
                <w:b w:val="false"/>
                <w:bCs w:val="false"/>
                <w:color w:val="333333"/>
                <w:sz w:val="20"/>
                <w:szCs w:val="20"/>
              </w:rPr>
              <w:t xml:space="preserve">4 rules (C-101–C-104)</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Orders</w:t>
            </w:r>
          </w:p>
        </w:tc>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Discount abuse, line voids, sweethearting, untendered orders</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 rules (C-201–C-204)</w:t>
            </w:r>
          </w:p>
        </w:tc>
      </w:tr>
      <w:tr>
        <w:tc>
          <w:tcPr>
            <w:tcW w:type="dxa" w:w="2200"/>
            <w:tcBorders>
              <w:top w:val="single" w:color="DDDDDD" w:sz="1"/>
              <w:left w:val="single" w:color="DDDDDD" w:sz="1"/>
              <w:bottom w:val="single" w:color="DDDDDD" w:sz="1"/>
              <w:right w:val="single" w:color="DDDDDD"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Timecards</w:t>
            </w:r>
          </w:p>
        </w:tc>
        <w:tc>
          <w:tcPr>
            <w:tcW w:type="dxa" w:w="4400"/>
            <w:tcBorders>
              <w:top w:val="single" w:color="DDDDDD" w:sz="1"/>
              <w:left w:val="single" w:color="DDDDDD" w:sz="1"/>
              <w:bottom w:val="single" w:color="DDDDDD" w:sz="1"/>
              <w:right w:val="single" w:color="DDDDDD" w:sz="1"/>
            </w:tcBorders>
            <w:shd w:fill="F8F6F0" w:val="clear"/>
            <w:tcMar>
              <w:top w:type="dxa" w:w="80"/>
              <w:left w:type="dxa" w:w="120"/>
              <w:bottom w:type="dxa" w:w="80"/>
              <w:right w:type="dxa" w:w="120"/>
            </w:tcMar>
          </w:tcPr>
          <w:p>
            <w:r>
              <w:rPr>
                <w:rFonts w:ascii="Arial" w:cs="Arial" w:eastAsia="Arial" w:hAnsi="Arial"/>
                <w:b w:val="false"/>
                <w:bCs w:val="false"/>
                <w:color w:val="333333"/>
                <w:sz w:val="20"/>
                <w:szCs w:val="20"/>
              </w:rPr>
              <w:t xml:space="preserve">Off-clock transactions, break-time activity, wrong-location punches</w:t>
            </w:r>
          </w:p>
        </w:tc>
        <w:tc>
          <w:tcPr>
            <w:tcW w:type="dxa" w:w="2760"/>
            <w:tcBorders>
              <w:top w:val="single" w:color="DDDDDD" w:sz="1"/>
              <w:left w:val="single" w:color="DDDDDD" w:sz="1"/>
              <w:bottom w:val="single" w:color="DDDDDD" w:sz="1"/>
              <w:right w:val="single" w:color="DDDDDD" w:sz="1"/>
            </w:tcBorders>
            <w:shd w:fill="F8F6F0" w:val="clear"/>
            <w:tcMar>
              <w:top w:type="dxa" w:w="80"/>
              <w:left w:type="dxa" w:w="120"/>
              <w:bottom w:type="dxa" w:w="80"/>
              <w:right w:type="dxa" w:w="120"/>
            </w:tcMar>
          </w:tcPr>
          <w:p>
            <w:r>
              <w:rPr>
                <w:rFonts w:ascii="Arial" w:cs="Arial" w:eastAsia="Arial" w:hAnsi="Arial"/>
                <w:b w:val="false"/>
                <w:bCs w:val="false"/>
                <w:color w:val="333333"/>
                <w:sz w:val="20"/>
                <w:szCs w:val="20"/>
              </w:rPr>
              <w:t xml:space="preserve">3 rules (C-301–C-303)</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Voids</w:t>
            </w:r>
          </w:p>
        </w:tc>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Void rate anomalies, post-void patterns</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rules (C-501–C-502)</w:t>
            </w:r>
          </w:p>
        </w:tc>
      </w:tr>
      <w:tr>
        <w:tc>
          <w:tcPr>
            <w:tcW w:type="dxa" w:w="2200"/>
            <w:tcBorders>
              <w:top w:val="single" w:color="DDDDDD" w:sz="1"/>
              <w:left w:val="single" w:color="DDDDDD" w:sz="1"/>
              <w:bottom w:val="single" w:color="DDDDDD" w:sz="1"/>
              <w:right w:val="single" w:color="DDDDDD"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Gift Cards</w:t>
            </w:r>
          </w:p>
        </w:tc>
        <w:tc>
          <w:tcPr>
            <w:tcW w:type="dxa" w:w="4400"/>
            <w:tcBorders>
              <w:top w:val="single" w:color="DDDDDD" w:sz="1"/>
              <w:left w:val="single" w:color="DDDDDD" w:sz="1"/>
              <w:bottom w:val="single" w:color="DDDDDD" w:sz="1"/>
              <w:right w:val="single" w:color="DDDDDD" w:sz="1"/>
            </w:tcBorders>
            <w:shd w:fill="F8F6F0" w:val="clear"/>
            <w:tcMar>
              <w:top w:type="dxa" w:w="80"/>
              <w:left w:type="dxa" w:w="120"/>
              <w:bottom w:type="dxa" w:w="80"/>
              <w:right w:type="dxa" w:w="120"/>
            </w:tcMar>
          </w:tcPr>
          <w:p>
            <w:r>
              <w:rPr>
                <w:rFonts w:ascii="Arial" w:cs="Arial" w:eastAsia="Arial" w:hAnsi="Arial"/>
                <w:b w:val="false"/>
                <w:bCs w:val="false"/>
                <w:color w:val="333333"/>
                <w:sz w:val="20"/>
                <w:szCs w:val="20"/>
              </w:rPr>
              <w:t xml:space="preserve">Load velocity spikes, rapid drain patterns</w:t>
            </w:r>
          </w:p>
        </w:tc>
        <w:tc>
          <w:tcPr>
            <w:tcW w:type="dxa" w:w="2760"/>
            <w:tcBorders>
              <w:top w:val="single" w:color="DDDDDD" w:sz="1"/>
              <w:left w:val="single" w:color="DDDDDD" w:sz="1"/>
              <w:bottom w:val="single" w:color="DDDDDD" w:sz="1"/>
              <w:right w:val="single" w:color="DDDDDD" w:sz="1"/>
            </w:tcBorders>
            <w:shd w:fill="F8F6F0" w:val="clear"/>
            <w:tcMar>
              <w:top w:type="dxa" w:w="80"/>
              <w:left w:type="dxa" w:w="120"/>
              <w:bottom w:type="dxa" w:w="80"/>
              <w:right w:type="dxa" w:w="120"/>
            </w:tcMar>
          </w:tcPr>
          <w:p>
            <w:r>
              <w:rPr>
                <w:rFonts w:ascii="Arial" w:cs="Arial" w:eastAsia="Arial" w:hAnsi="Arial"/>
                <w:b w:val="false"/>
                <w:bCs w:val="false"/>
                <w:color w:val="333333"/>
                <w:sz w:val="20"/>
                <w:szCs w:val="20"/>
              </w:rPr>
              <w:t xml:space="preserve">2 rules (C-601–C-602)</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Loyalty</w:t>
            </w:r>
          </w:p>
        </w:tc>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Point accumulation abuse, bulk redemption, cross-location gaming, enrollment fraud</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 rules (C-801–C-804)</w:t>
            </w:r>
          </w:p>
        </w:tc>
      </w:tr>
    </w:tbl>
    <w:p>
      <w:pPr>
        <w:spacing w:after="0" w:before="100"/>
      </w:pPr>
    </w:p>
    <w:p>
      <w:pPr>
        <w:spacing w:after="120" w:before="0"/>
        <w:jc w:val="left"/>
      </w:pPr>
      <w:r>
        <w:rPr>
          <w:rFonts w:ascii="Arial" w:cs="Arial" w:eastAsia="Arial" w:hAnsi="Arial"/>
          <w:i/>
          <w:iCs/>
          <w:color w:val="333333"/>
          <w:sz w:val="22"/>
          <w:szCs w:val="22"/>
        </w:rPr>
        <w:t xml:space="preserve">Six critical-severity rules automatically flag for immediate attention: </w:t>
      </w:r>
      <w:r>
        <w:rPr>
          <w:rFonts w:ascii="Arial" w:cs="Arial" w:eastAsia="Arial" w:hAnsi="Arial"/>
          <w:i/>
          <w:iCs/>
          <w:color w:val="333333"/>
          <w:sz w:val="22"/>
          <w:szCs w:val="22"/>
        </w:rPr>
        <w:t xml:space="preserve">high-value refund anomalies, unexplained cash variance, sweethearting, off-clock transactions, post-void abuse, and gift card drain.</w:t>
      </w:r>
    </w:p>
    <w:p>
      <w:r>
        <w:br w:type="page"/>
      </w:r>
    </w:p>
    <w:p>
      <w:pPr>
        <w:pStyle w:val="Heading1"/>
        <w:spacing w:after="200" w:before="360"/>
      </w:pPr>
      <w:r>
        <w:rPr>
          <w:rFonts w:ascii="Arial" w:cs="Arial" w:eastAsia="Arial" w:hAnsi="Arial"/>
          <w:b/>
          <w:bCs/>
          <w:color w:val="1A1A2E"/>
          <w:sz w:val="36"/>
          <w:szCs w:val="36"/>
        </w:rPr>
        <w:t xml:space="preserve">The Experience: Work the Board</w:t>
      </w:r>
    </w:p>
    <w:p>
      <w:pPr>
        <w:spacing w:after="120" w:before="0"/>
        <w:jc w:val="left"/>
      </w:pPr>
      <w:r>
        <w:rPr>
          <w:rFonts w:ascii="Arial" w:cs="Arial" w:eastAsia="Arial" w:hAnsi="Arial"/>
          <w:b w:val="false"/>
          <w:bCs w:val="false"/>
          <w:i w:val="false"/>
          <w:iCs w:val="false"/>
          <w:color w:val="333333"/>
          <w:sz w:val="22"/>
          <w:szCs w:val="22"/>
        </w:rPr>
        <w:t xml:space="preserve">The Health Check does not produce a PDF report that sits in an inbox. It produces a live, interactive workspace. Every finding is a card on a kanban board. The merchant works the board the same way a loss prevention consultant would work a case list: prioritized by severity, estimated dollar impact, and actionability.</w:t>
      </w:r>
    </w:p>
    <w:p>
      <w:pPr>
        <w:pStyle w:val="Heading2"/>
        <w:spacing w:after="160" w:before="280"/>
      </w:pPr>
      <w:r>
        <w:rPr>
          <w:rFonts w:ascii="Arial" w:cs="Arial" w:eastAsia="Arial" w:hAnsi="Arial"/>
          <w:b/>
          <w:bCs/>
          <w:color w:val="2E4057"/>
          <w:sz w:val="28"/>
          <w:szCs w:val="28"/>
        </w:rPr>
        <w:t xml:space="preserve">Each Card Contains</w:t>
      </w:r>
    </w:p>
    <w:p>
      <w:pPr>
        <w:pStyle w:val="ListParagraph"/>
        <w:numPr>
          <w:ilvl w:val="0"/>
          <w:numId w:val="3"/>
        </w:numPr>
        <w:spacing w:after="40" w:before="40"/>
      </w:pPr>
      <w:r>
        <w:rPr>
          <w:rFonts w:ascii="Arial" w:cs="Arial" w:eastAsia="Arial" w:hAnsi="Arial"/>
          <w:b/>
          <w:bCs/>
          <w:color w:val="333333"/>
          <w:sz w:val="22"/>
          <w:szCs w:val="22"/>
        </w:rPr>
        <w:t xml:space="preserve">The Finding: </w:t>
      </w:r>
      <w:r>
        <w:rPr>
          <w:rFonts w:ascii="Arial" w:cs="Arial" w:eastAsia="Arial" w:hAnsi="Arial"/>
          <w:color w:val="333333"/>
          <w:sz w:val="22"/>
          <w:szCs w:val="22"/>
        </w:rPr>
        <w:t xml:space="preserve">What Canary detected, in plain English. No codes, no jargon. "Your employee Maria processed 47 refunds last month. Your store average is 12."</w:t>
      </w:r>
    </w:p>
    <w:p>
      <w:pPr>
        <w:pStyle w:val="ListParagraph"/>
        <w:numPr>
          <w:ilvl w:val="0"/>
          <w:numId w:val="3"/>
        </w:numPr>
        <w:spacing w:after="40" w:before="40"/>
      </w:pPr>
      <w:r>
        <w:rPr>
          <w:rFonts w:ascii="Arial" w:cs="Arial" w:eastAsia="Arial" w:hAnsi="Arial"/>
          <w:b/>
          <w:bCs/>
          <w:color w:val="333333"/>
          <w:sz w:val="22"/>
          <w:szCs w:val="22"/>
        </w:rPr>
        <w:t xml:space="preserve">The Impact: </w:t>
      </w:r>
      <w:r>
        <w:rPr>
          <w:rFonts w:ascii="Arial" w:cs="Arial" w:eastAsia="Arial" w:hAnsi="Arial"/>
          <w:color w:val="333333"/>
          <w:sz w:val="22"/>
          <w:szCs w:val="22"/>
        </w:rPr>
        <w:t xml:space="preserve">Estimated dollar exposure. "Estimated exposure: $3,200 in unverified refunds."</w:t>
      </w:r>
    </w:p>
    <w:p>
      <w:pPr>
        <w:pStyle w:val="ListParagraph"/>
        <w:numPr>
          <w:ilvl w:val="0"/>
          <w:numId w:val="3"/>
        </w:numPr>
        <w:spacing w:after="40" w:before="40"/>
      </w:pPr>
      <w:r>
        <w:rPr>
          <w:rFonts w:ascii="Arial" w:cs="Arial" w:eastAsia="Arial" w:hAnsi="Arial"/>
          <w:b/>
          <w:bCs/>
          <w:color w:val="333333"/>
          <w:sz w:val="22"/>
          <w:szCs w:val="22"/>
        </w:rPr>
        <w:t xml:space="preserve">The Severity: </w:t>
      </w:r>
      <w:r>
        <w:rPr>
          <w:rFonts w:ascii="Arial" w:cs="Arial" w:eastAsia="Arial" w:hAnsi="Arial"/>
          <w:color w:val="333333"/>
          <w:sz w:val="22"/>
          <w:szCs w:val="22"/>
        </w:rPr>
        <w:t xml:space="preserve">Color-coded: critical (red), warning (amber), advisory (blue). Critical findings appear first.</w:t>
      </w:r>
    </w:p>
    <w:p>
      <w:pPr>
        <w:pStyle w:val="ListParagraph"/>
        <w:numPr>
          <w:ilvl w:val="0"/>
          <w:numId w:val="3"/>
        </w:numPr>
        <w:spacing w:after="40" w:before="40"/>
      </w:pPr>
      <w:r>
        <w:rPr>
          <w:rFonts w:ascii="Arial" w:cs="Arial" w:eastAsia="Arial" w:hAnsi="Arial"/>
          <w:b/>
          <w:bCs/>
          <w:color w:val="333333"/>
          <w:sz w:val="22"/>
          <w:szCs w:val="22"/>
        </w:rPr>
        <w:t xml:space="preserve">The Recommendation: </w:t>
      </w:r>
      <w:r>
        <w:rPr>
          <w:rFonts w:ascii="Arial" w:cs="Arial" w:eastAsia="Arial" w:hAnsi="Arial"/>
          <w:color w:val="333333"/>
          <w:sz w:val="22"/>
          <w:szCs w:val="22"/>
        </w:rPr>
        <w:t xml:space="preserve">What to do about it, written like a consultant's advice. "Review Maria's refund transactions for the last 30 days. Consider reducing her refund authorization limit."</w:t>
      </w:r>
    </w:p>
    <w:p>
      <w:pPr>
        <w:pStyle w:val="Heading2"/>
        <w:spacing w:after="160" w:before="280"/>
      </w:pPr>
      <w:r>
        <w:rPr>
          <w:rFonts w:ascii="Arial" w:cs="Arial" w:eastAsia="Arial" w:hAnsi="Arial"/>
          <w:b/>
          <w:bCs/>
          <w:color w:val="2E4057"/>
          <w:sz w:val="28"/>
          <w:szCs w:val="28"/>
        </w:rPr>
        <w:t xml:space="preserve">Each Card Has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7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Generate Memo</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Creates a formatted summary of the finding with supporting data. The merchant can save it, email it to a manager, or use it for an employee conversation.</w:t>
            </w:r>
          </w:p>
        </w:tc>
      </w:tr>
      <w:tr>
        <w:tc>
          <w:tcPr>
            <w:tcW w:type="dxa" w:w="2200"/>
            <w:tcBorders>
              <w:top w:val="single" w:color="DDDDDD" w:sz="1"/>
              <w:left w:val="single" w:color="DDDDDD" w:sz="1"/>
              <w:bottom w:val="single" w:color="DDDDDD" w:sz="1"/>
              <w:right w:val="single" w:color="DDDDDD"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Export CSV</w:t>
            </w:r>
          </w:p>
        </w:tc>
        <w:tc>
          <w:tcPr>
            <w:tcW w:type="dxa" w:w="7160"/>
            <w:tcBorders>
              <w:top w:val="single" w:color="DDDDDD" w:sz="1"/>
              <w:left w:val="single" w:color="DDDDDD" w:sz="1"/>
              <w:bottom w:val="single" w:color="DDDDDD" w:sz="1"/>
              <w:right w:val="single" w:color="DDDDDD" w:sz="1"/>
            </w:tcBorders>
            <w:shd w:fill="F8F6F0" w:val="clear"/>
            <w:tcMar>
              <w:top w:type="dxa" w:w="80"/>
              <w:left w:type="dxa" w:w="120"/>
              <w:bottom w:type="dxa" w:w="80"/>
              <w:right w:type="dxa" w:w="120"/>
            </w:tcMar>
          </w:tcPr>
          <w:p>
            <w:r>
              <w:rPr>
                <w:rFonts w:ascii="Arial" w:cs="Arial" w:eastAsia="Arial" w:hAnsi="Arial"/>
                <w:b w:val="false"/>
                <w:bCs w:val="false"/>
                <w:color w:val="333333"/>
                <w:sz w:val="20"/>
                <w:szCs w:val="20"/>
              </w:rPr>
              <w:t xml:space="preserve">Downloads the raw transaction data behind the finding. For the merchant who wants to see every line item.</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Push to Square</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Executes the recommended configuration change directly through the Square API. Reduce refund limits, adjust employee permissions, update inventory alerts. One tap, live in Square.</w:t>
            </w:r>
          </w:p>
        </w:tc>
      </w:tr>
      <w:tr>
        <w:tc>
          <w:tcPr>
            <w:tcW w:type="dxa" w:w="2200"/>
            <w:tcBorders>
              <w:top w:val="single" w:color="DDDDDD" w:sz="1"/>
              <w:left w:val="single" w:color="DDDDDD" w:sz="1"/>
              <w:bottom w:val="single" w:color="DDDDDD" w:sz="1"/>
              <w:right w:val="single" w:color="DDDDDD"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Dismiss</w:t>
            </w:r>
          </w:p>
        </w:tc>
        <w:tc>
          <w:tcPr>
            <w:tcW w:type="dxa" w:w="7160"/>
            <w:tcBorders>
              <w:top w:val="single" w:color="DDDDDD" w:sz="1"/>
              <w:left w:val="single" w:color="DDDDDD" w:sz="1"/>
              <w:bottom w:val="single" w:color="DDDDDD" w:sz="1"/>
              <w:right w:val="single" w:color="DDDDDD" w:sz="1"/>
            </w:tcBorders>
            <w:shd w:fill="F8F6F0" w:val="clear"/>
            <w:tcMar>
              <w:top w:type="dxa" w:w="80"/>
              <w:left w:type="dxa" w:w="120"/>
              <w:bottom w:type="dxa" w:w="80"/>
              <w:right w:type="dxa" w:w="120"/>
            </w:tcMar>
          </w:tcPr>
          <w:p>
            <w:r>
              <w:rPr>
                <w:rFonts w:ascii="Arial" w:cs="Arial" w:eastAsia="Arial" w:hAnsi="Arial"/>
                <w:b w:val="false"/>
                <w:bCs w:val="false"/>
                <w:color w:val="333333"/>
                <w:sz w:val="20"/>
                <w:szCs w:val="20"/>
              </w:rPr>
              <w:t xml:space="preserve">Acknowledges the finding and removes it from the board. The merchant reviewed it and decided no action is needed.</w:t>
            </w:r>
          </w:p>
        </w:tc>
      </w:tr>
    </w:tbl>
    <w:p>
      <w:pPr>
        <w:spacing w:after="0" w:before="100"/>
      </w:pPr>
    </w:p>
    <w:p>
      <w:pPr>
        <w:spacing w:after="120" w:before="0"/>
        <w:jc w:val="left"/>
      </w:pPr>
      <w:r>
        <w:rPr>
          <w:rFonts w:ascii="Arial" w:cs="Arial" w:eastAsia="Arial" w:hAnsi="Arial"/>
          <w:b w:val="false"/>
          <w:bCs w:val="false"/>
          <w:i w:val="false"/>
          <w:iCs w:val="false"/>
          <w:color w:val="333333"/>
          <w:sz w:val="22"/>
          <w:szCs w:val="22"/>
        </w:rPr>
        <w:t xml:space="preserve">When the board is empty, the session is done. The merchant worked their findings, took their actions, and closed the tab. Nothing lingers. No follow-up required.</w:t>
      </w:r>
    </w:p>
    <w:p>
      <w:pPr>
        <w:pStyle w:val="Heading1"/>
        <w:spacing w:after="200" w:before="360"/>
      </w:pPr>
      <w:r>
        <w:rPr>
          <w:rFonts w:ascii="Arial" w:cs="Arial" w:eastAsia="Arial" w:hAnsi="Arial"/>
          <w:b/>
          <w:bCs/>
          <w:color w:val="1A1A2E"/>
          <w:sz w:val="36"/>
          <w:szCs w:val="36"/>
        </w:rPr>
        <w:t xml:space="preserve">The Heartbeat</w:t>
      </w:r>
    </w:p>
    <w:p>
      <w:pPr>
        <w:spacing w:after="120" w:before="0"/>
        <w:jc w:val="left"/>
      </w:pPr>
      <w:r>
        <w:rPr>
          <w:rFonts w:ascii="Arial" w:cs="Arial" w:eastAsia="Arial" w:hAnsi="Arial"/>
          <w:b w:val="false"/>
          <w:bCs w:val="false"/>
          <w:i w:val="false"/>
          <w:iCs w:val="false"/>
          <w:color w:val="333333"/>
          <w:sz w:val="22"/>
          <w:szCs w:val="22"/>
        </w:rPr>
        <w:t xml:space="preserve">Before the merchant sees any individual findings, the Health Check produces a Heartbeat: a single, AI-generated assessment of their store's overall health.</w:t>
      </w:r>
    </w:p>
    <w:p>
      <w:pPr>
        <w:spacing w:after="120" w:before="0"/>
        <w:jc w:val="left"/>
      </w:pPr>
      <w:r>
        <w:rPr>
          <w:rFonts w:ascii="Arial" w:cs="Arial" w:eastAsia="Arial" w:hAnsi="Arial"/>
          <w:b w:val="false"/>
          <w:bCs w:val="false"/>
          <w:i w:val="false"/>
          <w:iCs w:val="false"/>
          <w:color w:val="333333"/>
          <w:sz w:val="22"/>
          <w:szCs w:val="22"/>
        </w:rPr>
        <w:t xml:space="preserve">The Heartbeat is not a dashboard metric. It is the output of a 14-billion parameter neural network that has analyzed every transaction, correlated patterns across employees and locations, weighed severity against frequency, and distilled the entire analysis into one read. It tells the merchant whether their store is healthy, showing signs of stress, or in need of immediate attention.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48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6A34A"/>
                <w:sz w:val="20"/>
                <w:szCs w:val="20"/>
              </w:rPr>
              <w:t xml:space="preserve">Healthy</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significant anomalies</w:t>
            </w:r>
          </w:p>
        </w:tc>
        <w:tc>
          <w:tcPr>
            <w:tcW w:type="dxa" w:w="4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"Your store is running clean. Refund rates are below average, cash handling is tight, and no employee patterns stand out. Keep doing what you are doing."</w:t>
            </w:r>
          </w:p>
        </w:tc>
      </w:tr>
      <w:tr>
        <w:tc>
          <w:tcPr>
            <w:tcW w:type="dxa" w:w="2000"/>
            <w:tcBorders>
              <w:top w:val="single" w:color="DDDDDD" w:sz="1"/>
              <w:left w:val="single" w:color="DDDDDD" w:sz="1"/>
              <w:bottom w:val="single" w:color="DDDDDD" w:sz="1"/>
              <w:right w:val="single" w:color="DDDDDD" w:sz="1"/>
            </w:tcBorders>
            <w:shd w:fill="F8F6F0" w:val="clear"/>
            <w:tcMar>
              <w:top w:type="dxa" w:w="80"/>
              <w:left w:type="dxa" w:w="120"/>
              <w:bottom w:type="dxa" w:w="80"/>
              <w:right w:type="dxa" w:w="120"/>
            </w:tcMar>
          </w:tcPr>
          <w:p>
            <w:r>
              <w:rPr>
                <w:rFonts w:ascii="Arial" w:cs="Arial" w:eastAsia="Arial" w:hAnsi="Arial"/>
                <w:b/>
                <w:bCs/>
                <w:color w:val="2563EB"/>
                <w:sz w:val="20"/>
                <w:szCs w:val="20"/>
              </w:rPr>
              <w:t xml:space="preserve">Normal</w:t>
            </w:r>
          </w:p>
        </w:tc>
        <w:tc>
          <w:tcPr>
            <w:tcW w:type="dxa" w:w="2500"/>
            <w:tcBorders>
              <w:top w:val="single" w:color="DDDDDD" w:sz="1"/>
              <w:left w:val="single" w:color="DDDDDD" w:sz="1"/>
              <w:bottom w:val="single" w:color="DDDDDD" w:sz="1"/>
              <w:right w:val="single" w:color="DDDDDD" w:sz="1"/>
            </w:tcBorders>
            <w:shd w:fill="F8F6F0" w:val="clear"/>
            <w:tcMar>
              <w:top w:type="dxa" w:w="80"/>
              <w:left w:type="dxa" w:w="120"/>
              <w:bottom w:type="dxa" w:w="80"/>
              <w:right w:type="dxa" w:w="120"/>
            </w:tcMar>
          </w:tcPr>
          <w:p>
            <w:r>
              <w:rPr>
                <w:rFonts w:ascii="Arial" w:cs="Arial" w:eastAsia="Arial" w:hAnsi="Arial"/>
                <w:b w:val="false"/>
                <w:bCs w:val="false"/>
                <w:color w:val="333333"/>
                <w:sz w:val="20"/>
                <w:szCs w:val="20"/>
              </w:rPr>
              <w:t xml:space="preserve">Minor items, no urgency</w:t>
            </w:r>
          </w:p>
        </w:tc>
        <w:tc>
          <w:tcPr>
            <w:tcW w:type="dxa" w:w="4860"/>
            <w:tcBorders>
              <w:top w:val="single" w:color="DDDDDD" w:sz="1"/>
              <w:left w:val="single" w:color="DDDDDD" w:sz="1"/>
              <w:bottom w:val="single" w:color="DDDDDD" w:sz="1"/>
              <w:right w:val="single" w:color="DDDDDD" w:sz="1"/>
            </w:tcBorders>
            <w:shd w:fill="F8F6F0" w:val="clear"/>
            <w:tcMar>
              <w:top w:type="dxa" w:w="80"/>
              <w:left w:type="dxa" w:w="120"/>
              <w:bottom w:type="dxa" w:w="80"/>
              <w:right w:type="dxa" w:w="120"/>
            </w:tcMar>
          </w:tcPr>
          <w:p>
            <w:r>
              <w:rPr>
                <w:rFonts w:ascii="Arial" w:cs="Arial" w:eastAsia="Arial" w:hAnsi="Arial"/>
                <w:b w:val="false"/>
                <w:bCs w:val="false"/>
                <w:color w:val="333333"/>
                <w:sz w:val="20"/>
                <w:szCs w:val="20"/>
              </w:rPr>
              <w:t xml:space="preserve">"Your store looks good overall. There are two advisory items on the board worth reviewing, but nothing that needs immediate action."</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D97706"/>
                <w:sz w:val="20"/>
                <w:szCs w:val="20"/>
              </w:rPr>
              <w:t xml:space="preserve">Warning</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Patterns that need attention</w:t>
            </w:r>
          </w:p>
        </w:tc>
        <w:tc>
          <w:tcPr>
            <w:tcW w:type="dxa" w:w="4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"Your refund rate has been climbing for three months. Two employees are driving most of it. Check the board — the top two cards explain what is happening."</w:t>
            </w:r>
          </w:p>
        </w:tc>
      </w:tr>
      <w:tr>
        <w:tc>
          <w:tcPr>
            <w:tcW w:type="dxa" w:w="2000"/>
            <w:tcBorders>
              <w:top w:val="single" w:color="DDDDDD" w:sz="1"/>
              <w:left w:val="single" w:color="DDDDDD" w:sz="1"/>
              <w:bottom w:val="single" w:color="DDDDDD" w:sz="1"/>
              <w:right w:val="single" w:color="DDDDDD" w:sz="1"/>
            </w:tcBorders>
            <w:shd w:fill="F8F6F0" w:val="clear"/>
            <w:tcMar>
              <w:top w:type="dxa" w:w="80"/>
              <w:left w:type="dxa" w:w="120"/>
              <w:bottom w:type="dxa" w:w="80"/>
              <w:right w:type="dxa" w:w="120"/>
            </w:tcMar>
          </w:tcPr>
          <w:p>
            <w:r>
              <w:rPr>
                <w:rFonts w:ascii="Arial" w:cs="Arial" w:eastAsia="Arial" w:hAnsi="Arial"/>
                <w:b/>
                <w:bCs/>
                <w:color w:val="DC2626"/>
                <w:sz w:val="20"/>
                <w:szCs w:val="20"/>
              </w:rPr>
              <w:t xml:space="preserve">Alert</w:t>
            </w:r>
          </w:p>
        </w:tc>
        <w:tc>
          <w:tcPr>
            <w:tcW w:type="dxa" w:w="2500"/>
            <w:tcBorders>
              <w:top w:val="single" w:color="DDDDDD" w:sz="1"/>
              <w:left w:val="single" w:color="DDDDDD" w:sz="1"/>
              <w:bottom w:val="single" w:color="DDDDDD" w:sz="1"/>
              <w:right w:val="single" w:color="DDDDDD" w:sz="1"/>
            </w:tcBorders>
            <w:shd w:fill="F8F6F0" w:val="clear"/>
            <w:tcMar>
              <w:top w:type="dxa" w:w="80"/>
              <w:left w:type="dxa" w:w="120"/>
              <w:bottom w:type="dxa" w:w="80"/>
              <w:right w:type="dxa" w:w="120"/>
            </w:tcMar>
          </w:tcPr>
          <w:p>
            <w:r>
              <w:rPr>
                <w:rFonts w:ascii="Arial" w:cs="Arial" w:eastAsia="Arial" w:hAnsi="Arial"/>
                <w:b w:val="false"/>
                <w:bCs w:val="false"/>
                <w:color w:val="333333"/>
                <w:sz w:val="20"/>
                <w:szCs w:val="20"/>
              </w:rPr>
              <w:t xml:space="preserve">Immediate action recommended</w:t>
            </w:r>
          </w:p>
        </w:tc>
        <w:tc>
          <w:tcPr>
            <w:tcW w:type="dxa" w:w="4860"/>
            <w:tcBorders>
              <w:top w:val="single" w:color="DDDDDD" w:sz="1"/>
              <w:left w:val="single" w:color="DDDDDD" w:sz="1"/>
              <w:bottom w:val="single" w:color="DDDDDD" w:sz="1"/>
              <w:right w:val="single" w:color="DDDDDD" w:sz="1"/>
            </w:tcBorders>
            <w:shd w:fill="F8F6F0" w:val="clear"/>
            <w:tcMar>
              <w:top w:type="dxa" w:w="80"/>
              <w:left w:type="dxa" w:w="120"/>
              <w:bottom w:type="dxa" w:w="80"/>
              <w:right w:type="dxa" w:w="120"/>
            </w:tcMar>
          </w:tcPr>
          <w:p>
            <w:r>
              <w:rPr>
                <w:rFonts w:ascii="Arial" w:cs="Arial" w:eastAsia="Arial" w:hAnsi="Arial"/>
                <w:b w:val="false"/>
                <w:bCs w:val="false"/>
                <w:color w:val="333333"/>
                <w:sz w:val="20"/>
                <w:szCs w:val="20"/>
              </w:rPr>
              <w:t xml:space="preserve">"There is a significant cash variance pattern at your downtown location. The board has a critical finding with the details. Review it now."</w:t>
            </w:r>
          </w:p>
        </w:tc>
      </w:tr>
    </w:tbl>
    <w:p>
      <w:pPr>
        <w:spacing w:after="0" w:before="100"/>
      </w:pPr>
    </w:p>
    <w:p>
      <w:pPr>
        <w:spacing w:after="120" w:before="0"/>
        <w:jc w:val="left"/>
      </w:pPr>
      <w:r>
        <w:rPr>
          <w:rFonts w:ascii="Arial" w:cs="Arial" w:eastAsia="Arial" w:hAnsi="Arial"/>
          <w:b w:val="false"/>
          <w:bCs w:val="false"/>
          <w:i w:val="false"/>
          <w:iCs w:val="false"/>
          <w:color w:val="333333"/>
          <w:sz w:val="22"/>
          <w:szCs w:val="22"/>
        </w:rPr>
        <w:t xml:space="preserve">The Heartbeat is what makes this a consultant, not a report. A report gives you data. A consultant tells you what the data means and what to do first. The Heartbeat does that in ten seconds.</w:t>
      </w:r>
    </w:p>
    <w:p>
      <w:r>
        <w:br w:type="page"/>
      </w:r>
    </w:p>
    <w:p>
      <w:pPr>
        <w:pStyle w:val="Heading1"/>
        <w:spacing w:after="200" w:before="360"/>
      </w:pPr>
      <w:r>
        <w:rPr>
          <w:rFonts w:ascii="Arial" w:cs="Arial" w:eastAsia="Arial" w:hAnsi="Arial"/>
          <w:b/>
          <w:bCs/>
          <w:color w:val="1A1A2E"/>
          <w:sz w:val="36"/>
          <w:szCs w:val="36"/>
        </w:rPr>
        <w:t xml:space="preserve">The Engine: What Is Running Under the Hood</w:t>
      </w:r>
    </w:p>
    <w:p>
      <w:pPr>
        <w:spacing w:after="120" w:before="0"/>
        <w:jc w:val="left"/>
      </w:pPr>
      <w:r>
        <w:rPr>
          <w:rFonts w:ascii="Arial" w:cs="Arial" w:eastAsia="Arial" w:hAnsi="Arial"/>
          <w:b w:val="false"/>
          <w:bCs w:val="false"/>
          <w:i w:val="false"/>
          <w:iCs w:val="false"/>
          <w:color w:val="333333"/>
          <w:sz w:val="22"/>
          <w:szCs w:val="22"/>
        </w:rPr>
        <w:t xml:space="preserve">The Canary Health Check is not a simple rules engine bolted onto the Square API. It is the same intelligence platform that powers enterprise-grade loss prevention, packaged as an on-demand service. Every Health Check session runs the full stack.</w:t>
      </w:r>
    </w:p>
    <w:p>
      <w:pPr>
        <w:pStyle w:val="Heading2"/>
        <w:spacing w:after="160" w:before="280"/>
      </w:pPr>
      <w:r>
        <w:rPr>
          <w:rFonts w:ascii="Arial" w:cs="Arial" w:eastAsia="Arial" w:hAnsi="Arial"/>
          <w:b/>
          <w:bCs/>
          <w:color w:val="2E4057"/>
          <w:sz w:val="28"/>
          <w:szCs w:val="28"/>
        </w:rPr>
        <w:t xml:space="preserve">Chirp: 29 Detection Rules, Three Execution Tiers</w:t>
      </w:r>
    </w:p>
    <w:p>
      <w:pPr>
        <w:spacing w:after="120" w:before="0"/>
        <w:jc w:val="left"/>
      </w:pPr>
      <w:r>
        <w:rPr>
          <w:rFonts w:ascii="Arial" w:cs="Arial" w:eastAsia="Arial" w:hAnsi="Arial"/>
          <w:b w:val="false"/>
          <w:bCs w:val="false"/>
          <w:i w:val="false"/>
          <w:iCs w:val="false"/>
          <w:color w:val="333333"/>
          <w:sz w:val="22"/>
          <w:szCs w:val="22"/>
        </w:rPr>
        <w:t xml:space="preserve">Chirp is the detection engine. It evaluates every transaction against 29 rules organized into three processing tiers:</w:t>
      </w:r>
    </w:p>
    <w:p>
      <w:pPr>
        <w:pStyle w:val="ListParagraph"/>
        <w:numPr>
          <w:ilvl w:val="0"/>
          <w:numId w:val="3"/>
        </w:numPr>
        <w:spacing w:after="40" w:before="40"/>
      </w:pPr>
      <w:r>
        <w:rPr>
          <w:rFonts w:ascii="Arial" w:cs="Arial" w:eastAsia="Arial" w:hAnsi="Arial"/>
          <w:b/>
          <w:bCs/>
          <w:color w:val="333333"/>
          <w:sz w:val="22"/>
          <w:szCs w:val="22"/>
        </w:rPr>
        <w:t xml:space="preserve">Stateless rules </w:t>
      </w:r>
      <w:r>
        <w:rPr>
          <w:rFonts w:ascii="Arial" w:cs="Arial" w:eastAsia="Arial" w:hAnsi="Arial"/>
          <w:color w:val="333333"/>
          <w:sz w:val="22"/>
          <w:szCs w:val="22"/>
        </w:rPr>
        <w:t xml:space="preserve">fire on a single transaction. Is this refund above the threshold? Is this void unusual for this employee?</w:t>
      </w:r>
    </w:p>
    <w:p>
      <w:pPr>
        <w:pStyle w:val="ListParagraph"/>
        <w:numPr>
          <w:ilvl w:val="0"/>
          <w:numId w:val="3"/>
        </w:numPr>
        <w:spacing w:after="40" w:before="40"/>
      </w:pPr>
      <w:r>
        <w:rPr>
          <w:rFonts w:ascii="Arial" w:cs="Arial" w:eastAsia="Arial" w:hAnsi="Arial"/>
          <w:b/>
          <w:bCs/>
          <w:color w:val="333333"/>
          <w:sz w:val="22"/>
          <w:szCs w:val="22"/>
        </w:rPr>
        <w:t xml:space="preserve">Short-window rules </w:t>
      </w:r>
      <w:r>
        <w:rPr>
          <w:rFonts w:ascii="Arial" w:cs="Arial" w:eastAsia="Arial" w:hAnsi="Arial"/>
          <w:color w:val="333333"/>
          <w:sz w:val="22"/>
          <w:szCs w:val="22"/>
        </w:rPr>
        <w:t xml:space="preserve">fire on patterns within a time window. Are refunds clustering in the last hour? Is this cash drawer being opened too frequently?</w:t>
      </w:r>
    </w:p>
    <w:p>
      <w:pPr>
        <w:pStyle w:val="ListParagraph"/>
        <w:numPr>
          <w:ilvl w:val="0"/>
          <w:numId w:val="3"/>
        </w:numPr>
        <w:spacing w:after="40" w:before="40"/>
      </w:pPr>
      <w:r>
        <w:rPr>
          <w:rFonts w:ascii="Arial" w:cs="Arial" w:eastAsia="Arial" w:hAnsi="Arial"/>
          <w:b/>
          <w:bCs/>
          <w:color w:val="333333"/>
          <w:sz w:val="22"/>
          <w:szCs w:val="22"/>
        </w:rPr>
        <w:t xml:space="preserve">Baseline rules </w:t>
      </w:r>
      <w:r>
        <w:rPr>
          <w:rFonts w:ascii="Arial" w:cs="Arial" w:eastAsia="Arial" w:hAnsi="Arial"/>
          <w:color w:val="333333"/>
          <w:sz w:val="22"/>
          <w:szCs w:val="22"/>
        </w:rPr>
        <w:t xml:space="preserve">fire against historical norms. Has this employee's refund rate doubled compared to the store average? Is this location's cash variance trending upward?</w:t>
      </w:r>
    </w:p>
    <w:p>
      <w:pPr>
        <w:spacing w:after="120" w:before="0"/>
        <w:jc w:val="left"/>
      </w:pPr>
      <w:r>
        <w:rPr>
          <w:rFonts w:ascii="Arial" w:cs="Arial" w:eastAsia="Arial" w:hAnsi="Arial"/>
          <w:b w:val="false"/>
          <w:bCs w:val="false"/>
          <w:i w:val="false"/>
          <w:iCs w:val="false"/>
          <w:color w:val="333333"/>
          <w:sz w:val="22"/>
          <w:szCs w:val="22"/>
        </w:rPr>
        <w:t xml:space="preserve">In the Health Check, all three tiers run against the full historical dataset. The merchant gets the same depth of analysis that a real-time monitoring customer gets, compressed into a single session.</w:t>
      </w:r>
    </w:p>
    <w:p>
      <w:pPr>
        <w:pStyle w:val="Heading2"/>
        <w:spacing w:after="160" w:before="280"/>
      </w:pPr>
      <w:r>
        <w:rPr>
          <w:rFonts w:ascii="Arial" w:cs="Arial" w:eastAsia="Arial" w:hAnsi="Arial"/>
          <w:b/>
          <w:bCs/>
          <w:color w:val="2E4057"/>
          <w:sz w:val="28"/>
          <w:szCs w:val="28"/>
        </w:rPr>
        <w:t xml:space="preserve">Owl: AI Intelligence Layer</w:t>
      </w:r>
    </w:p>
    <w:p>
      <w:pPr>
        <w:spacing w:after="120" w:before="0"/>
        <w:jc w:val="left"/>
      </w:pPr>
      <w:r>
        <w:rPr>
          <w:rFonts w:ascii="Arial" w:cs="Arial" w:eastAsia="Arial" w:hAnsi="Arial"/>
          <w:b w:val="false"/>
          <w:bCs w:val="false"/>
          <w:i w:val="false"/>
          <w:iCs w:val="false"/>
          <w:color w:val="333333"/>
          <w:sz w:val="22"/>
          <w:szCs w:val="22"/>
        </w:rPr>
        <w:t xml:space="preserve">Owl is the intelligence layer. It is a 14-billion parameter neural network running on dedicated hardware. Owl does three things in every Health Check session:</w:t>
      </w:r>
    </w:p>
    <w:p>
      <w:pPr>
        <w:pStyle w:val="ListParagraph"/>
        <w:numPr>
          <w:ilvl w:val="0"/>
          <w:numId w:val="3"/>
        </w:numPr>
        <w:spacing w:after="40" w:before="40"/>
      </w:pPr>
      <w:r>
        <w:rPr>
          <w:rFonts w:ascii="Arial" w:cs="Arial" w:eastAsia="Arial" w:hAnsi="Arial"/>
          <w:b/>
          <w:bCs/>
          <w:color w:val="333333"/>
          <w:sz w:val="22"/>
          <w:szCs w:val="22"/>
        </w:rPr>
        <w:t xml:space="preserve">Analyzes: </w:t>
      </w:r>
      <w:r>
        <w:rPr>
          <w:rFonts w:ascii="Arial" w:cs="Arial" w:eastAsia="Arial" w:hAnsi="Arial"/>
          <w:color w:val="333333"/>
          <w:sz w:val="22"/>
          <w:szCs w:val="22"/>
        </w:rPr>
        <w:t xml:space="preserve">Takes the raw Chirp findings and performs cross-correlation analysis. It connects patterns that individual rules cannot see: an employee with a high refund rate who also processes an unusual number of voids and works shifts with cash variance.</w:t>
      </w:r>
    </w:p>
    <w:p>
      <w:pPr>
        <w:pStyle w:val="ListParagraph"/>
        <w:numPr>
          <w:ilvl w:val="0"/>
          <w:numId w:val="3"/>
        </w:numPr>
        <w:spacing w:after="40" w:before="40"/>
      </w:pPr>
      <w:r>
        <w:rPr>
          <w:rFonts w:ascii="Arial" w:cs="Arial" w:eastAsia="Arial" w:hAnsi="Arial"/>
          <w:b/>
          <w:bCs/>
          <w:color w:val="333333"/>
          <w:sz w:val="22"/>
          <w:szCs w:val="22"/>
        </w:rPr>
        <w:t xml:space="preserve">Narrates: </w:t>
      </w:r>
      <w:r>
        <w:rPr>
          <w:rFonts w:ascii="Arial" w:cs="Arial" w:eastAsia="Arial" w:hAnsi="Arial"/>
          <w:color w:val="333333"/>
          <w:sz w:val="22"/>
          <w:szCs w:val="22"/>
        </w:rPr>
        <w:t xml:space="preserve">Translates findings into plain English. No codes. No thresholds. The merchant reads what is happening in their store the same way they would hear it from a consultant.</w:t>
      </w:r>
    </w:p>
    <w:p>
      <w:pPr>
        <w:pStyle w:val="ListParagraph"/>
        <w:numPr>
          <w:ilvl w:val="0"/>
          <w:numId w:val="3"/>
        </w:numPr>
        <w:spacing w:after="40" w:before="40"/>
      </w:pPr>
      <w:r>
        <w:rPr>
          <w:rFonts w:ascii="Arial" w:cs="Arial" w:eastAsia="Arial" w:hAnsi="Arial"/>
          <w:b/>
          <w:bCs/>
          <w:color w:val="333333"/>
          <w:sz w:val="22"/>
          <w:szCs w:val="22"/>
        </w:rPr>
        <w:t xml:space="preserve">Prioritizes: </w:t>
      </w:r>
      <w:r>
        <w:rPr>
          <w:rFonts w:ascii="Arial" w:cs="Arial" w:eastAsia="Arial" w:hAnsi="Arial"/>
          <w:color w:val="333333"/>
          <w:sz w:val="22"/>
          <w:szCs w:val="22"/>
        </w:rPr>
        <w:t xml:space="preserve">Produces the Heartbeat and ranks findings by severity and dollar impact. The most important issue is always at the top of the board.</w:t>
      </w:r>
    </w:p>
    <w:p>
      <w:pPr>
        <w:pStyle w:val="Heading2"/>
        <w:spacing w:after="160" w:before="280"/>
      </w:pPr>
      <w:r>
        <w:rPr>
          <w:rFonts w:ascii="Arial" w:cs="Arial" w:eastAsia="Arial" w:hAnsi="Arial"/>
          <w:b/>
          <w:bCs/>
          <w:color w:val="2E4057"/>
          <w:sz w:val="28"/>
          <w:szCs w:val="28"/>
        </w:rPr>
        <w:t xml:space="preserve">CRDM: The Namespace</w:t>
      </w:r>
    </w:p>
    <w:p>
      <w:pPr>
        <w:spacing w:after="120" w:before="0"/>
        <w:jc w:val="left"/>
      </w:pPr>
      <w:r>
        <w:rPr>
          <w:rFonts w:ascii="Arial" w:cs="Arial" w:eastAsia="Arial" w:hAnsi="Arial"/>
          <w:b w:val="false"/>
          <w:bCs w:val="false"/>
          <w:i w:val="false"/>
          <w:iCs w:val="false"/>
          <w:color w:val="333333"/>
          <w:sz w:val="22"/>
          <w:szCs w:val="22"/>
        </w:rPr>
        <w:t xml:space="preserve">The Canary Retail Data Model is the structured data layer that makes everything else work. When the Health Check pulls a merchant's Square data, it serializes every transaction into CRDM format: each event linked to an employee, a device, a location, a time period, a payment method, and a customer where applicable.</w:t>
      </w:r>
    </w:p>
    <w:p>
      <w:pPr>
        <w:spacing w:after="120" w:before="0"/>
        <w:jc w:val="left"/>
      </w:pPr>
      <w:r>
        <w:rPr>
          <w:rFonts w:ascii="Arial" w:cs="Arial" w:eastAsia="Arial" w:hAnsi="Arial"/>
          <w:b w:val="false"/>
          <w:bCs w:val="false"/>
          <w:i w:val="false"/>
          <w:iCs w:val="false"/>
          <w:color w:val="333333"/>
          <w:sz w:val="22"/>
          <w:szCs w:val="22"/>
        </w:rPr>
        <w:t xml:space="preserve">This entity correlation is what powers the intelligence. When Chirp finds that refunds are elevated, Owl can ask: which employees? At which locations? On which shifts? During which time periods? With which payment methods? The CRDM namespace makes those questions answerable because every entity is linked.</w:t>
      </w:r>
    </w:p>
    <w:p>
      <w:pPr>
        <w:pBdr>
          <w:left w:val="single" w:color="D4A843" w:sz="6" w:space="12"/>
        </w:pBdr>
        <w:spacing w:after="200" w:before="200"/>
        <w:ind w:left="720" w:right="720"/>
      </w:pPr>
      <w:r>
        <w:rPr>
          <w:rFonts w:ascii="Arial" w:cs="Arial" w:eastAsia="Arial" w:hAnsi="Arial"/>
          <w:i/>
          <w:iCs/>
          <w:color w:val="2E4057"/>
          <w:sz w:val="22"/>
          <w:szCs w:val="22"/>
        </w:rPr>
        <w:t xml:space="preserve">This is not a transaction log. It is a structured model of how a store operates. Every entity is connected. Every connection is queryable.</w:t>
      </w:r>
    </w:p>
    <w:p>
      <w:r>
        <w:br w:type="page"/>
      </w:r>
    </w:p>
    <w:p>
      <w:pPr>
        <w:pStyle w:val="Heading1"/>
        <w:spacing w:after="200" w:before="360"/>
      </w:pPr>
      <w:r>
        <w:rPr>
          <w:rFonts w:ascii="Arial" w:cs="Arial" w:eastAsia="Arial" w:hAnsi="Arial"/>
          <w:b/>
          <w:bCs/>
          <w:color w:val="1A1A2E"/>
          <w:sz w:val="36"/>
          <w:szCs w:val="36"/>
        </w:rPr>
        <w:t xml:space="preserve">Three Products, One Engine</w:t>
      </w:r>
    </w:p>
    <w:p>
      <w:pPr>
        <w:spacing w:after="120" w:before="0"/>
        <w:jc w:val="left"/>
      </w:pPr>
      <w:r>
        <w:rPr>
          <w:rFonts w:ascii="Arial" w:cs="Arial" w:eastAsia="Arial" w:hAnsi="Arial"/>
          <w:b w:val="false"/>
          <w:bCs w:val="false"/>
          <w:i w:val="false"/>
          <w:iCs w:val="false"/>
          <w:color w:val="333333"/>
          <w:sz w:val="22"/>
          <w:szCs w:val="22"/>
        </w:rPr>
        <w:t xml:space="preserve">The Canary Health Check is the first product in a three-tier platform. Each tier runs on the same engine. The only thing that changes is what persists.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5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Health Check</w:t>
            </w:r>
          </w:p>
        </w:tc>
        <w:tc>
          <w:tcPr>
            <w:tcW w:type="dxa" w:w="25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Sentinel</w:t>
            </w:r>
          </w:p>
        </w:tc>
        <w:tc>
          <w:tcPr>
            <w:tcW w:type="dxa" w:w="25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Canary RaaS</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What It Is</w:t>
            </w:r>
          </w:p>
        </w:tc>
        <w:tc>
          <w:tcPr>
            <w:tcW w:type="dxa" w:w="25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On-demand audit</w:t>
            </w:r>
          </w:p>
        </w:tc>
        <w:tc>
          <w:tcPr>
            <w:tcW w:type="dxa" w:w="25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Return validation API</w:t>
            </w:r>
          </w:p>
        </w:tc>
        <w:tc>
          <w:tcPr>
            <w:tcW w:type="dxa" w:w="25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loss prevention platform</w:t>
            </w:r>
          </w:p>
        </w:tc>
      </w:tr>
      <w:tr>
        <w:tc>
          <w:tcPr>
            <w:tcW w:type="dxa" w:w="1800"/>
            <w:tcBorders>
              <w:top w:val="single" w:color="DDDDDD" w:sz="1"/>
              <w:left w:val="single" w:color="DDDDDD" w:sz="1"/>
              <w:bottom w:val="single" w:color="DDDDDD" w:sz="1"/>
              <w:right w:val="single" w:color="DDDDDD"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Data Model</w:t>
            </w:r>
          </w:p>
        </w:tc>
        <w:tc>
          <w:tcPr>
            <w:tcW w:type="dxa" w:w="2520"/>
            <w:tcBorders>
              <w:top w:val="single" w:color="DDDDDD" w:sz="1"/>
              <w:left w:val="single" w:color="DDDDDD" w:sz="1"/>
              <w:bottom w:val="single" w:color="DDDDDD" w:sz="1"/>
              <w:right w:val="single" w:color="DDDDDD" w:sz="1"/>
            </w:tcBorders>
            <w:shd w:fill="F8F6F0" w:val="clear"/>
            <w:tcMar>
              <w:top w:type="dxa" w:w="80"/>
              <w:left w:type="dxa" w:w="120"/>
              <w:bottom w:type="dxa" w:w="80"/>
              <w:right w:type="dxa" w:w="120"/>
            </w:tcMar>
          </w:tcPr>
          <w:p>
            <w:r>
              <w:rPr>
                <w:rFonts w:ascii="Arial" w:cs="Arial" w:eastAsia="Arial" w:hAnsi="Arial"/>
                <w:b w:val="false"/>
                <w:bCs w:val="false"/>
                <w:color w:val="333333"/>
                <w:sz w:val="20"/>
                <w:szCs w:val="20"/>
              </w:rPr>
              <w:t xml:space="preserve">Ephemeral — destroyed after session</w:t>
            </w:r>
          </w:p>
        </w:tc>
        <w:tc>
          <w:tcPr>
            <w:tcW w:type="dxa" w:w="2520"/>
            <w:tcBorders>
              <w:top w:val="single" w:color="DDDDDD" w:sz="1"/>
              <w:left w:val="single" w:color="DDDDDD" w:sz="1"/>
              <w:bottom w:val="single" w:color="DDDDDD" w:sz="1"/>
              <w:right w:val="single" w:color="DDDDDD" w:sz="1"/>
            </w:tcBorders>
            <w:shd w:fill="F8F6F0" w:val="clear"/>
            <w:tcMar>
              <w:top w:type="dxa" w:w="80"/>
              <w:left w:type="dxa" w:w="120"/>
              <w:bottom w:type="dxa" w:w="80"/>
              <w:right w:type="dxa" w:w="120"/>
            </w:tcMar>
          </w:tcPr>
          <w:p>
            <w:r>
              <w:rPr>
                <w:rFonts w:ascii="Arial" w:cs="Arial" w:eastAsia="Arial" w:hAnsi="Arial"/>
                <w:b w:val="false"/>
                <w:bCs w:val="false"/>
                <w:color w:val="333333"/>
                <w:sz w:val="20"/>
                <w:szCs w:val="20"/>
              </w:rPr>
              <w:t xml:space="preserve">Baseline persists for validation</w:t>
            </w:r>
          </w:p>
        </w:tc>
        <w:tc>
          <w:tcPr>
            <w:tcW w:type="dxa" w:w="2520"/>
            <w:tcBorders>
              <w:top w:val="single" w:color="DDDDDD" w:sz="1"/>
              <w:left w:val="single" w:color="DDDDDD" w:sz="1"/>
              <w:bottom w:val="single" w:color="DDDDDD" w:sz="1"/>
              <w:right w:val="single" w:color="DDDDDD" w:sz="1"/>
            </w:tcBorders>
            <w:shd w:fill="F8F6F0"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persistence in CRDM</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Chirp</w:t>
            </w:r>
          </w:p>
        </w:tc>
        <w:tc>
          <w:tcPr>
            <w:tcW w:type="dxa" w:w="25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Batch analysis against history</w:t>
            </w:r>
          </w:p>
        </w:tc>
        <w:tc>
          <w:tcPr>
            <w:tcW w:type="dxa" w:w="25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Real-time return scoring</w:t>
            </w:r>
          </w:p>
        </w:tc>
        <w:tc>
          <w:tcPr>
            <w:tcW w:type="dxa" w:w="25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Real-time on every webhook</w:t>
            </w:r>
          </w:p>
        </w:tc>
      </w:tr>
      <w:tr>
        <w:tc>
          <w:tcPr>
            <w:tcW w:type="dxa" w:w="1800"/>
            <w:tcBorders>
              <w:top w:val="single" w:color="DDDDDD" w:sz="1"/>
              <w:left w:val="single" w:color="DDDDDD" w:sz="1"/>
              <w:bottom w:val="single" w:color="DDDDDD" w:sz="1"/>
              <w:right w:val="single" w:color="DDDDDD"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Owl</w:t>
            </w:r>
          </w:p>
        </w:tc>
        <w:tc>
          <w:tcPr>
            <w:tcW w:type="dxa" w:w="2520"/>
            <w:tcBorders>
              <w:top w:val="single" w:color="DDDDDD" w:sz="1"/>
              <w:left w:val="single" w:color="DDDDDD" w:sz="1"/>
              <w:bottom w:val="single" w:color="DDDDDD" w:sz="1"/>
              <w:right w:val="single" w:color="DDDDDD" w:sz="1"/>
            </w:tcBorders>
            <w:shd w:fill="F8F6F0" w:val="clear"/>
            <w:tcMar>
              <w:top w:type="dxa" w:w="80"/>
              <w:left w:type="dxa" w:w="120"/>
              <w:bottom w:type="dxa" w:w="80"/>
              <w:right w:type="dxa" w:w="120"/>
            </w:tcMar>
          </w:tcPr>
          <w:p>
            <w:r>
              <w:rPr>
                <w:rFonts w:ascii="Arial" w:cs="Arial" w:eastAsia="Arial" w:hAnsi="Arial"/>
                <w:b w:val="false"/>
                <w:bCs w:val="false"/>
                <w:color w:val="333333"/>
                <w:sz w:val="20"/>
                <w:szCs w:val="20"/>
              </w:rPr>
              <w:t xml:space="preserve">Session-based analysis</w:t>
            </w:r>
          </w:p>
        </w:tc>
        <w:tc>
          <w:tcPr>
            <w:tcW w:type="dxa" w:w="2520"/>
            <w:tcBorders>
              <w:top w:val="single" w:color="DDDDDD" w:sz="1"/>
              <w:left w:val="single" w:color="DDDDDD" w:sz="1"/>
              <w:bottom w:val="single" w:color="DDDDDD" w:sz="1"/>
              <w:right w:val="single" w:color="DDDDDD" w:sz="1"/>
            </w:tcBorders>
            <w:shd w:fill="F8F6F0" w:val="clear"/>
            <w:tcMar>
              <w:top w:type="dxa" w:w="80"/>
              <w:left w:type="dxa" w:w="120"/>
              <w:bottom w:type="dxa" w:w="80"/>
              <w:right w:type="dxa" w:w="120"/>
            </w:tcMar>
          </w:tcPr>
          <w:p>
            <w:r>
              <w:rPr>
                <w:rFonts w:ascii="Arial" w:cs="Arial" w:eastAsia="Arial" w:hAnsi="Arial"/>
                <w:b w:val="false"/>
                <w:bCs w:val="false"/>
                <w:color w:val="333333"/>
                <w:sz w:val="20"/>
                <w:szCs w:val="20"/>
              </w:rPr>
              <w:t xml:space="preserve">Return confidence scoring</w:t>
            </w:r>
          </w:p>
        </w:tc>
        <w:tc>
          <w:tcPr>
            <w:tcW w:type="dxa" w:w="2520"/>
            <w:tcBorders>
              <w:top w:val="single" w:color="DDDDDD" w:sz="1"/>
              <w:left w:val="single" w:color="DDDDDD" w:sz="1"/>
              <w:bottom w:val="single" w:color="DDDDDD" w:sz="1"/>
              <w:right w:val="single" w:color="DDDDDD" w:sz="1"/>
            </w:tcBorders>
            <w:shd w:fill="F8F6F0"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Continuous intelligence</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Heartbeat</w:t>
            </w:r>
          </w:p>
        </w:tc>
        <w:tc>
          <w:tcPr>
            <w:tcW w:type="dxa" w:w="25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Snapshot</w:t>
            </w:r>
          </w:p>
        </w:tc>
        <w:tc>
          <w:tcPr>
            <w:tcW w:type="dxa" w:w="25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Return health pulse</w:t>
            </w:r>
          </w:p>
        </w:tc>
        <w:tc>
          <w:tcPr>
            <w:tcW w:type="dxa" w:w="25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Continuous</w:t>
            </w:r>
          </w:p>
        </w:tc>
      </w:tr>
      <w:tr>
        <w:tc>
          <w:tcPr>
            <w:tcW w:type="dxa" w:w="1800"/>
            <w:tcBorders>
              <w:top w:val="single" w:color="DDDDDD" w:sz="1"/>
              <w:left w:val="single" w:color="DDDDDD" w:sz="1"/>
              <w:bottom w:val="single" w:color="DDDDDD" w:sz="1"/>
              <w:right w:val="single" w:color="DDDDDD"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The Vault</w:t>
            </w:r>
          </w:p>
        </w:tc>
        <w:tc>
          <w:tcPr>
            <w:tcW w:type="dxa" w:w="2520"/>
            <w:tcBorders>
              <w:top w:val="single" w:color="DDDDDD" w:sz="1"/>
              <w:left w:val="single" w:color="DDDDDD" w:sz="1"/>
              <w:bottom w:val="single" w:color="DDDDDD" w:sz="1"/>
              <w:right w:val="single" w:color="DDDDDD" w:sz="1"/>
            </w:tcBorders>
            <w:shd w:fill="F8F6F0"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available</w:t>
            </w:r>
          </w:p>
        </w:tc>
        <w:tc>
          <w:tcPr>
            <w:tcW w:type="dxa" w:w="2520"/>
            <w:tcBorders>
              <w:top w:val="single" w:color="DDDDDD" w:sz="1"/>
              <w:left w:val="single" w:color="DDDDDD" w:sz="1"/>
              <w:bottom w:val="single" w:color="DDDDDD" w:sz="1"/>
              <w:right w:val="single" w:color="DDDDDD" w:sz="1"/>
            </w:tcBorders>
            <w:shd w:fill="F8F6F0"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available</w:t>
            </w:r>
          </w:p>
        </w:tc>
        <w:tc>
          <w:tcPr>
            <w:tcW w:type="dxa" w:w="2520"/>
            <w:tcBorders>
              <w:top w:val="single" w:color="DDDDDD" w:sz="1"/>
              <w:left w:val="single" w:color="DDDDDD" w:sz="1"/>
              <w:bottom w:val="single" w:color="DDDDDD" w:sz="1"/>
              <w:right w:val="single" w:color="DDDDDD" w:sz="1"/>
            </w:tcBorders>
            <w:shd w:fill="F8F6F0"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case management</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Evidence Chain</w:t>
            </w:r>
          </w:p>
        </w:tc>
        <w:tc>
          <w:tcPr>
            <w:tcW w:type="dxa" w:w="25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applicable</w:t>
            </w:r>
          </w:p>
        </w:tc>
        <w:tc>
          <w:tcPr>
            <w:tcW w:type="dxa" w:w="25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applicable</w:t>
            </w:r>
          </w:p>
        </w:tc>
        <w:tc>
          <w:tcPr>
            <w:tcW w:type="dxa" w:w="25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Hash-chained, Bitcoin-anchored</w:t>
            </w:r>
          </w:p>
        </w:tc>
      </w:tr>
      <w:tr>
        <w:tc>
          <w:tcPr>
            <w:tcW w:type="dxa" w:w="1800"/>
            <w:tcBorders>
              <w:top w:val="single" w:color="DDDDDD" w:sz="1"/>
              <w:left w:val="single" w:color="DDDDDD" w:sz="1"/>
              <w:bottom w:val="single" w:color="DDDDDD" w:sz="1"/>
              <w:right w:val="single" w:color="DDDDDD"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Agreement</w:t>
            </w:r>
          </w:p>
        </w:tc>
        <w:tc>
          <w:tcPr>
            <w:tcW w:type="dxa" w:w="2520"/>
            <w:tcBorders>
              <w:top w:val="single" w:color="DDDDDD" w:sz="1"/>
              <w:left w:val="single" w:color="DDDDDD" w:sz="1"/>
              <w:bottom w:val="single" w:color="DDDDDD" w:sz="1"/>
              <w:right w:val="single" w:color="DDDDDD" w:sz="1"/>
            </w:tcBorders>
            <w:shd w:fill="F8F6F0" w:val="clear"/>
            <w:tcMar>
              <w:top w:type="dxa" w:w="80"/>
              <w:left w:type="dxa" w:w="120"/>
              <w:bottom w:type="dxa" w:w="80"/>
              <w:right w:type="dxa" w:w="120"/>
            </w:tcMar>
          </w:tcPr>
          <w:p>
            <w:r>
              <w:rPr>
                <w:rFonts w:ascii="Arial" w:cs="Arial" w:eastAsia="Arial" w:hAnsi="Arial"/>
                <w:b w:val="false"/>
                <w:bCs w:val="false"/>
                <w:color w:val="333333"/>
                <w:sz w:val="20"/>
                <w:szCs w:val="20"/>
              </w:rPr>
              <w:t xml:space="preserve">Health Check TOS</w:t>
            </w:r>
          </w:p>
        </w:tc>
        <w:tc>
          <w:tcPr>
            <w:tcW w:type="dxa" w:w="2520"/>
            <w:tcBorders>
              <w:top w:val="single" w:color="DDDDDD" w:sz="1"/>
              <w:left w:val="single" w:color="DDDDDD" w:sz="1"/>
              <w:bottom w:val="single" w:color="DDDDDD" w:sz="1"/>
              <w:right w:val="single" w:color="DDDDDD" w:sz="1"/>
            </w:tcBorders>
            <w:shd w:fill="F8F6F0" w:val="clear"/>
            <w:tcMar>
              <w:top w:type="dxa" w:w="80"/>
              <w:left w:type="dxa" w:w="120"/>
              <w:bottom w:type="dxa" w:w="80"/>
              <w:right w:type="dxa" w:w="120"/>
            </w:tcMar>
          </w:tcPr>
          <w:p>
            <w:r>
              <w:rPr>
                <w:rFonts w:ascii="Arial" w:cs="Arial" w:eastAsia="Arial" w:hAnsi="Arial"/>
                <w:b w:val="false"/>
                <w:bCs w:val="false"/>
                <w:color w:val="333333"/>
                <w:sz w:val="20"/>
                <w:szCs w:val="20"/>
              </w:rPr>
              <w:t xml:space="preserve">Sentinel API Agreement</w:t>
            </w:r>
          </w:p>
        </w:tc>
        <w:tc>
          <w:tcPr>
            <w:tcW w:type="dxa" w:w="2520"/>
            <w:tcBorders>
              <w:top w:val="single" w:color="DDDDDD" w:sz="1"/>
              <w:left w:val="single" w:color="DDDDDD" w:sz="1"/>
              <w:bottom w:val="single" w:color="DDDDDD" w:sz="1"/>
              <w:right w:val="single" w:color="DDDDDD" w:sz="1"/>
            </w:tcBorders>
            <w:shd w:fill="F8F6F0" w:val="clear"/>
            <w:tcMar>
              <w:top w:type="dxa" w:w="80"/>
              <w:left w:type="dxa" w:w="120"/>
              <w:bottom w:type="dxa" w:w="80"/>
              <w:right w:type="dxa" w:w="120"/>
            </w:tcMar>
          </w:tcPr>
          <w:p>
            <w:r>
              <w:rPr>
                <w:rFonts w:ascii="Arial" w:cs="Arial" w:eastAsia="Arial" w:hAnsi="Arial"/>
                <w:b w:val="false"/>
                <w:bCs w:val="false"/>
                <w:color w:val="333333"/>
                <w:sz w:val="20"/>
                <w:szCs w:val="20"/>
              </w:rPr>
              <w:t xml:space="preserve">RaaS Data Agreement</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Price Model</w:t>
            </w:r>
          </w:p>
        </w:tc>
        <w:tc>
          <w:tcPr>
            <w:tcW w:type="dxa" w:w="25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 session or subscription</w:t>
            </w:r>
          </w:p>
        </w:tc>
        <w:tc>
          <w:tcPr>
            <w:tcW w:type="dxa" w:w="25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Monthly + per-call</w:t>
            </w:r>
          </w:p>
        </w:tc>
        <w:tc>
          <w:tcPr>
            <w:tcW w:type="dxa" w:w="25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Monthly SaaS</w:t>
            </w:r>
          </w:p>
        </w:tc>
      </w:tr>
    </w:tbl>
    <w:p>
      <w:pPr>
        <w:spacing w:after="0" w:before="100"/>
      </w:pPr>
    </w:p>
    <w:p>
      <w:pPr>
        <w:pStyle w:val="Heading2"/>
        <w:spacing w:after="160" w:before="280"/>
      </w:pPr>
      <w:r>
        <w:rPr>
          <w:rFonts w:ascii="Arial" w:cs="Arial" w:eastAsia="Arial" w:hAnsi="Arial"/>
          <w:b/>
          <w:bCs/>
          <w:color w:val="2E4057"/>
          <w:sz w:val="28"/>
          <w:szCs w:val="28"/>
        </w:rPr>
        <w:t xml:space="preserve">The Upgrade Path Is Built Into the Data</w:t>
      </w:r>
    </w:p>
    <w:p>
      <w:pPr>
        <w:spacing w:after="120" w:before="0"/>
        <w:jc w:val="left"/>
      </w:pPr>
      <w:r>
        <w:rPr>
          <w:rFonts w:ascii="Arial" w:cs="Arial" w:eastAsia="Arial" w:hAnsi="Arial"/>
          <w:b w:val="false"/>
          <w:bCs w:val="false"/>
          <w:i w:val="false"/>
          <w:iCs w:val="false"/>
          <w:color w:val="333333"/>
          <w:sz w:val="22"/>
          <w:szCs w:val="22"/>
        </w:rPr>
        <w:t xml:space="preserve">When a merchant runs a Health Check, their Square data is serialized into CRDM format. That serialization is the expensive work. If the merchant upgrades to Sentinel, the serialized baseline becomes their validation reference. If they upgrade to full RaaS, the CRDM data becomes their persistent store and the hash chain starts growing from day one with historical context already loaded.</w:t>
      </w:r>
    </w:p>
    <w:p>
      <w:pPr>
        <w:spacing w:after="120" w:before="0"/>
        <w:jc w:val="left"/>
      </w:pPr>
      <w:r>
        <w:rPr>
          <w:rFonts w:ascii="Arial" w:cs="Arial" w:eastAsia="Arial" w:hAnsi="Arial"/>
          <w:b w:val="false"/>
          <w:bCs w:val="false"/>
          <w:i w:val="false"/>
          <w:iCs w:val="false"/>
          <w:color w:val="333333"/>
          <w:sz w:val="22"/>
          <w:szCs w:val="22"/>
        </w:rPr>
        <w:t xml:space="preserve">The merchant never re-onboards. The data they generated in their first Health Check session is the foundation for everything that follows. Each tier lights the next one.</w:t>
      </w:r>
    </w:p>
    <w:p>
      <w:pPr>
        <w:pStyle w:val="Heading2"/>
        <w:spacing w:after="160" w:before="280"/>
      </w:pPr>
      <w:r>
        <w:rPr>
          <w:rFonts w:ascii="Arial" w:cs="Arial" w:eastAsia="Arial" w:hAnsi="Arial"/>
          <w:b/>
          <w:bCs/>
          <w:color w:val="2E4057"/>
          <w:sz w:val="28"/>
          <w:szCs w:val="28"/>
        </w:rPr>
        <w:t xml:space="preserve">Sentinel: The Return Validation Service</w:t>
      </w:r>
    </w:p>
    <w:p>
      <w:pPr>
        <w:spacing w:after="120" w:before="0"/>
        <w:jc w:val="left"/>
      </w:pPr>
      <w:r>
        <w:rPr>
          <w:rFonts w:ascii="Arial" w:cs="Arial" w:eastAsia="Arial" w:hAnsi="Arial"/>
          <w:b w:val="false"/>
          <w:bCs w:val="false"/>
          <w:i w:val="false"/>
          <w:iCs w:val="false"/>
          <w:color w:val="333333"/>
          <w:sz w:val="22"/>
          <w:szCs w:val="22"/>
        </w:rPr>
        <w:t xml:space="preserve">Between Health Checks, the serialized CRDM baseline stays alive as a validation endpoint. When a return comes in at the register, Square fires a webhook. Canary catches it and validates it against the merchant's historical baseline in milliseconds.</w:t>
      </w:r>
    </w:p>
    <w:p>
      <w:pPr>
        <w:pStyle w:val="ListParagraph"/>
        <w:numPr>
          <w:ilvl w:val="0"/>
          <w:numId w:val="3"/>
        </w:numPr>
        <w:spacing w:after="40" w:before="40"/>
      </w:pPr>
      <w:r>
        <w:rPr>
          <w:rFonts w:ascii="Arial" w:cs="Arial" w:eastAsia="Arial" w:hAnsi="Arial"/>
          <w:color w:val="333333"/>
          <w:sz w:val="22"/>
          <w:szCs w:val="22"/>
        </w:rPr>
        <w:t xml:space="preserve">Is this customer's return pattern normal?</w:t>
      </w:r>
    </w:p>
    <w:p>
      <w:pPr>
        <w:pStyle w:val="ListParagraph"/>
        <w:numPr>
          <w:ilvl w:val="0"/>
          <w:numId w:val="3"/>
        </w:numPr>
        <w:spacing w:after="40" w:before="40"/>
      </w:pPr>
      <w:r>
        <w:rPr>
          <w:rFonts w:ascii="Arial" w:cs="Arial" w:eastAsia="Arial" w:hAnsi="Arial"/>
          <w:color w:val="333333"/>
          <w:sz w:val="22"/>
          <w:szCs w:val="22"/>
        </w:rPr>
        <w:t xml:space="preserve">Has this item been returned before?</w:t>
      </w:r>
    </w:p>
    <w:p>
      <w:pPr>
        <w:pStyle w:val="ListParagraph"/>
        <w:numPr>
          <w:ilvl w:val="0"/>
          <w:numId w:val="3"/>
        </w:numPr>
        <w:spacing w:after="40" w:before="40"/>
      </w:pPr>
      <w:r>
        <w:rPr>
          <w:rFonts w:ascii="Arial" w:cs="Arial" w:eastAsia="Arial" w:hAnsi="Arial"/>
          <w:color w:val="333333"/>
          <w:sz w:val="22"/>
          <w:szCs w:val="22"/>
        </w:rPr>
        <w:t xml:space="preserve">Does the refund amount match the original transaction?</w:t>
      </w:r>
    </w:p>
    <w:p>
      <w:pPr>
        <w:pStyle w:val="ListParagraph"/>
        <w:numPr>
          <w:ilvl w:val="0"/>
          <w:numId w:val="3"/>
        </w:numPr>
        <w:spacing w:after="40" w:before="40"/>
      </w:pPr>
      <w:r>
        <w:rPr>
          <w:rFonts w:ascii="Arial" w:cs="Arial" w:eastAsia="Arial" w:hAnsi="Arial"/>
          <w:color w:val="333333"/>
          <w:sz w:val="22"/>
          <w:szCs w:val="22"/>
        </w:rPr>
        <w:t xml:space="preserve">Is this employee processing an unusual number of returns this shift?</w:t>
      </w:r>
    </w:p>
    <w:p>
      <w:pPr>
        <w:spacing w:after="120" w:before="0"/>
        <w:jc w:val="left"/>
      </w:pPr>
      <w:r>
        <w:rPr>
          <w:rFonts w:ascii="Arial" w:cs="Arial" w:eastAsia="Arial" w:hAnsi="Arial"/>
          <w:b w:val="false"/>
          <w:bCs w:val="false"/>
          <w:i w:val="false"/>
          <w:iCs w:val="false"/>
          <w:color w:val="333333"/>
          <w:sz w:val="22"/>
          <w:szCs w:val="22"/>
        </w:rPr>
        <w:t xml:space="preserve">The merchant gets a confidence score back before the return is processed. No dashboard. No workflow. One API call. One answer.</w:t>
      </w:r>
    </w:p>
    <w:p>
      <w:r>
        <w:br w:type="page"/>
      </w:r>
    </w:p>
    <w:p>
      <w:pPr>
        <w:pStyle w:val="Heading1"/>
        <w:spacing w:after="200" w:before="360"/>
      </w:pPr>
      <w:r>
        <w:rPr>
          <w:rFonts w:ascii="Arial" w:cs="Arial" w:eastAsia="Arial" w:hAnsi="Arial"/>
          <w:b/>
          <w:bCs/>
          <w:color w:val="1A1A2E"/>
          <w:sz w:val="36"/>
          <w:szCs w:val="36"/>
        </w:rPr>
        <w:t xml:space="preserve">Architecture: Ephemeral by Design</w:t>
      </w:r>
    </w:p>
    <w:p>
      <w:pPr>
        <w:spacing w:after="120" w:before="0"/>
        <w:jc w:val="left"/>
      </w:pPr>
      <w:r>
        <w:rPr>
          <w:rFonts w:ascii="Arial" w:cs="Arial" w:eastAsia="Arial" w:hAnsi="Arial"/>
          <w:b w:val="false"/>
          <w:bCs w:val="false"/>
          <w:i w:val="false"/>
          <w:iCs w:val="false"/>
          <w:color w:val="333333"/>
          <w:sz w:val="22"/>
          <w:szCs w:val="22"/>
        </w:rPr>
        <w:t xml:space="preserve">The Health Check runs on a principle called merchant-first isolation. Every session is a bounded, independent environment. The merchant's data never touches another merchant's data. The session never persists beyond the merchant's intent. The compute spins up for the analysis and tears down when it is done.</w:t>
      </w:r>
    </w:p>
    <w:p>
      <w:pPr>
        <w:pStyle w:val="Heading2"/>
        <w:spacing w:after="160" w:before="280"/>
      </w:pPr>
      <w:r>
        <w:rPr>
          <w:rFonts w:ascii="Arial" w:cs="Arial" w:eastAsia="Arial" w:hAnsi="Arial"/>
          <w:b/>
          <w:bCs/>
          <w:color w:val="2E4057"/>
          <w:sz w:val="28"/>
          <w:szCs w:val="28"/>
        </w:rPr>
        <w:t xml:space="preserve">Session Lifecycle</w:t>
      </w:r>
    </w:p>
    <w:p>
      <w:pPr>
        <w:pStyle w:val="ListParagraph"/>
        <w:numPr>
          <w:ilvl w:val="0"/>
          <w:numId w:val="2"/>
        </w:numPr>
        <w:spacing w:after="40" w:before="40"/>
      </w:pPr>
      <w:r>
        <w:rPr>
          <w:rFonts w:ascii="Arial" w:cs="Arial" w:eastAsia="Arial" w:hAnsi="Arial"/>
          <w:b/>
          <w:bCs/>
          <w:color w:val="333333"/>
          <w:sz w:val="22"/>
          <w:szCs w:val="22"/>
        </w:rPr>
        <w:t xml:space="preserve">OAuth: </w:t>
      </w:r>
      <w:r>
        <w:rPr>
          <w:rFonts w:ascii="Arial" w:cs="Arial" w:eastAsia="Arial" w:hAnsi="Arial"/>
          <w:color w:val="333333"/>
          <w:sz w:val="22"/>
          <w:szCs w:val="22"/>
        </w:rPr>
        <w:t xml:space="preserve">Merchant authorizes Square read access. Canary receives an access token scoped to their merchant ID.</w:t>
      </w:r>
    </w:p>
    <w:p>
      <w:pPr>
        <w:pStyle w:val="ListParagraph"/>
        <w:numPr>
          <w:ilvl w:val="0"/>
          <w:numId w:val="2"/>
        </w:numPr>
        <w:spacing w:after="40" w:before="40"/>
      </w:pPr>
      <w:r>
        <w:rPr>
          <w:rFonts w:ascii="Arial" w:cs="Arial" w:eastAsia="Arial" w:hAnsi="Arial"/>
          <w:b/>
          <w:bCs/>
          <w:color w:val="333333"/>
          <w:sz w:val="22"/>
          <w:szCs w:val="22"/>
        </w:rPr>
        <w:t xml:space="preserve">Ingest: </w:t>
      </w:r>
      <w:r>
        <w:rPr>
          <w:rFonts w:ascii="Arial" w:cs="Arial" w:eastAsia="Arial" w:hAnsi="Arial"/>
          <w:color w:val="333333"/>
          <w:sz w:val="22"/>
          <w:szCs w:val="22"/>
        </w:rPr>
        <w:t xml:space="preserve">Square APIs polled for transaction history (payments, orders, refunds, voids, team members, locations, inventory, cash drawers, timecards, gift cards). Data serialized into CRDM schema.</w:t>
      </w:r>
    </w:p>
    <w:p>
      <w:pPr>
        <w:pStyle w:val="ListParagraph"/>
        <w:numPr>
          <w:ilvl w:val="0"/>
          <w:numId w:val="2"/>
        </w:numPr>
        <w:spacing w:after="40" w:before="40"/>
      </w:pPr>
      <w:r>
        <w:rPr>
          <w:rFonts w:ascii="Arial" w:cs="Arial" w:eastAsia="Arial" w:hAnsi="Arial"/>
          <w:b/>
          <w:bCs/>
          <w:color w:val="333333"/>
          <w:sz w:val="22"/>
          <w:szCs w:val="22"/>
        </w:rPr>
        <w:t xml:space="preserve">Load: </w:t>
      </w:r>
      <w:r>
        <w:rPr>
          <w:rFonts w:ascii="Arial" w:cs="Arial" w:eastAsia="Arial" w:hAnsi="Arial"/>
          <w:color w:val="333333"/>
          <w:sz w:val="22"/>
          <w:szCs w:val="22"/>
        </w:rPr>
        <w:t xml:space="preserve">CRDM data loaded into an ephemeral PostgreSQL instance scoped to this merchant's session.</w:t>
      </w:r>
    </w:p>
    <w:p>
      <w:pPr>
        <w:pStyle w:val="ListParagraph"/>
        <w:numPr>
          <w:ilvl w:val="0"/>
          <w:numId w:val="2"/>
        </w:numPr>
        <w:spacing w:after="40" w:before="40"/>
      </w:pPr>
      <w:r>
        <w:rPr>
          <w:rFonts w:ascii="Arial" w:cs="Arial" w:eastAsia="Arial" w:hAnsi="Arial"/>
          <w:b/>
          <w:bCs/>
          <w:color w:val="333333"/>
          <w:sz w:val="22"/>
          <w:szCs w:val="22"/>
        </w:rPr>
        <w:t xml:space="preserve">Analyze: </w:t>
      </w:r>
      <w:r>
        <w:rPr>
          <w:rFonts w:ascii="Arial" w:cs="Arial" w:eastAsia="Arial" w:hAnsi="Arial"/>
          <w:color w:val="333333"/>
          <w:sz w:val="22"/>
          <w:szCs w:val="22"/>
        </w:rPr>
        <w:t xml:space="preserve">Chirp rule engine fires 29 rules across all three execution tiers. Owl performs cross-correlation analysis and generates the Heartbeat.</w:t>
      </w:r>
    </w:p>
    <w:p>
      <w:pPr>
        <w:pStyle w:val="ListParagraph"/>
        <w:numPr>
          <w:ilvl w:val="0"/>
          <w:numId w:val="2"/>
        </w:numPr>
        <w:spacing w:after="40" w:before="40"/>
      </w:pPr>
      <w:r>
        <w:rPr>
          <w:rFonts w:ascii="Arial" w:cs="Arial" w:eastAsia="Arial" w:hAnsi="Arial"/>
          <w:b/>
          <w:bCs/>
          <w:color w:val="333333"/>
          <w:sz w:val="22"/>
          <w:szCs w:val="22"/>
        </w:rPr>
        <w:t xml:space="preserve">Present: </w:t>
      </w:r>
      <w:r>
        <w:rPr>
          <w:rFonts w:ascii="Arial" w:cs="Arial" w:eastAsia="Arial" w:hAnsi="Arial"/>
          <w:color w:val="333333"/>
          <w:sz w:val="22"/>
          <w:szCs w:val="22"/>
        </w:rPr>
        <w:t xml:space="preserve">Findings populate the kanban board. Merchant works the board.</w:t>
      </w:r>
    </w:p>
    <w:p>
      <w:pPr>
        <w:pStyle w:val="ListParagraph"/>
        <w:numPr>
          <w:ilvl w:val="0"/>
          <w:numId w:val="2"/>
        </w:numPr>
        <w:spacing w:after="40" w:before="40"/>
      </w:pPr>
      <w:r>
        <w:rPr>
          <w:rFonts w:ascii="Arial" w:cs="Arial" w:eastAsia="Arial" w:hAnsi="Arial"/>
          <w:b/>
          <w:bCs/>
          <w:color w:val="333333"/>
          <w:sz w:val="22"/>
          <w:szCs w:val="22"/>
        </w:rPr>
        <w:t xml:space="preserve">Act: </w:t>
      </w:r>
      <w:r>
        <w:rPr>
          <w:rFonts w:ascii="Arial" w:cs="Arial" w:eastAsia="Arial" w:hAnsi="Arial"/>
          <w:color w:val="333333"/>
          <w:sz w:val="22"/>
          <w:szCs w:val="22"/>
        </w:rPr>
        <w:t xml:space="preserve">Merchant exports data, generates memos, or pushes configuration changes to Square.</w:t>
      </w:r>
    </w:p>
    <w:p>
      <w:pPr>
        <w:pStyle w:val="ListParagraph"/>
        <w:numPr>
          <w:ilvl w:val="0"/>
          <w:numId w:val="2"/>
        </w:numPr>
        <w:spacing w:after="40" w:before="40"/>
      </w:pPr>
      <w:r>
        <w:rPr>
          <w:rFonts w:ascii="Arial" w:cs="Arial" w:eastAsia="Arial" w:hAnsi="Arial"/>
          <w:b/>
          <w:bCs/>
          <w:color w:val="333333"/>
          <w:sz w:val="22"/>
          <w:szCs w:val="22"/>
        </w:rPr>
        <w:t xml:space="preserve">Teardown: </w:t>
      </w:r>
      <w:r>
        <w:rPr>
          <w:rFonts w:ascii="Arial" w:cs="Arial" w:eastAsia="Arial" w:hAnsi="Arial"/>
          <w:color w:val="333333"/>
          <w:sz w:val="22"/>
          <w:szCs w:val="22"/>
        </w:rPr>
        <w:t xml:space="preserve">Session ends. Ephemeral environment destroyed. All merchant data deleted. Only artifacts the merchant exported persist on their own device.</w:t>
      </w:r>
    </w:p>
    <w:p>
      <w:pPr>
        <w:pStyle w:val="Heading2"/>
        <w:spacing w:after="160" w:before="280"/>
      </w:pPr>
      <w:r>
        <w:rPr>
          <w:rFonts w:ascii="Arial" w:cs="Arial" w:eastAsia="Arial" w:hAnsi="Arial"/>
          <w:b/>
          <w:bCs/>
          <w:color w:val="2E4057"/>
          <w:sz w:val="28"/>
          <w:szCs w:val="28"/>
        </w:rPr>
        <w:t xml:space="preserve">Infrastructure</w:t>
      </w:r>
    </w:p>
    <w:p>
      <w:pPr>
        <w:spacing w:after="120" w:before="0"/>
        <w:jc w:val="left"/>
      </w:pPr>
      <w:r>
        <w:rPr>
          <w:rFonts w:ascii="Arial" w:cs="Arial" w:eastAsia="Arial" w:hAnsi="Arial"/>
          <w:b w:val="false"/>
          <w:bCs w:val="false"/>
          <w:i w:val="false"/>
          <w:iCs w:val="false"/>
          <w:color w:val="333333"/>
          <w:sz w:val="22"/>
          <w:szCs w:val="22"/>
        </w:rPr>
        <w:t xml:space="preserve">Each Health Check session runs in an isolated container. The container includes the Flask application, a PostgreSQL instance loaded with the merchant's serialized data, and the Chirp/Owl analysis stack. The container is provisioned on demand and destroyed on session close.</w:t>
      </w:r>
    </w:p>
    <w:p>
      <w:pPr>
        <w:spacing w:after="120" w:before="0"/>
        <w:jc w:val="left"/>
      </w:pPr>
      <w:r>
        <w:rPr>
          <w:rFonts w:ascii="Arial" w:cs="Arial" w:eastAsia="Arial" w:hAnsi="Arial"/>
          <w:b w:val="false"/>
          <w:bCs w:val="false"/>
          <w:i w:val="false"/>
          <w:iCs w:val="false"/>
          <w:color w:val="333333"/>
          <w:sz w:val="22"/>
          <w:szCs w:val="22"/>
        </w:rPr>
        <w:t xml:space="preserve">For the Sentinel tier, the serialized CRDM baseline is persisted to a merchant-scoped partition. The validation API runs as a lightweight endpoint that queries the baseline. No container spin-up required for individual return validation calls.</w:t>
      </w:r>
    </w:p>
    <w:p>
      <w:pPr>
        <w:spacing w:after="120" w:before="0"/>
        <w:jc w:val="left"/>
      </w:pPr>
      <w:r>
        <w:rPr>
          <w:rFonts w:ascii="Arial" w:cs="Arial" w:eastAsia="Arial" w:hAnsi="Arial"/>
          <w:b w:val="false"/>
          <w:bCs w:val="false"/>
          <w:i w:val="false"/>
          <w:iCs w:val="false"/>
          <w:color w:val="333333"/>
          <w:sz w:val="22"/>
          <w:szCs w:val="22"/>
        </w:rPr>
        <w:t xml:space="preserve">For the full RaaS tier, the merchant's CRDM partition becomes persistent storage with real-time webhook ingestion, hash-chained evidence, and Bitcoin-anchored immutability. The same isolation principle applies: each merchant's data is a bounded, independent partition.</w:t>
      </w:r>
    </w:p>
    <w:p>
      <w:pPr>
        <w:pBdr>
          <w:left w:val="single" w:color="D4A843" w:sz="6" w:space="12"/>
        </w:pBdr>
        <w:spacing w:after="200" w:before="200"/>
        <w:ind w:left="720" w:right="720"/>
      </w:pPr>
      <w:r>
        <w:rPr>
          <w:rFonts w:ascii="Arial" w:cs="Arial" w:eastAsia="Arial" w:hAnsi="Arial"/>
          <w:i/>
          <w:iCs/>
          <w:color w:val="2E4057"/>
          <w:sz w:val="22"/>
          <w:szCs w:val="22"/>
        </w:rPr>
        <w:t xml:space="preserve">Merchant-first isolation is not a feature. It is the architecture. The same principle that makes an ephemeral Health Check possible makes a permanent evidence chain defensible.</w:t>
      </w:r>
    </w:p>
    <w:p>
      <w:r>
        <w:br w:type="page"/>
      </w:r>
    </w:p>
    <w:p>
      <w:pPr>
        <w:pStyle w:val="Heading1"/>
        <w:spacing w:after="200" w:before="360"/>
      </w:pPr>
      <w:r>
        <w:rPr>
          <w:rFonts w:ascii="Arial" w:cs="Arial" w:eastAsia="Arial" w:hAnsi="Arial"/>
          <w:b/>
          <w:bCs/>
          <w:color w:val="1A1A2E"/>
          <w:sz w:val="36"/>
          <w:szCs w:val="36"/>
        </w:rPr>
        <w:t xml:space="preserve">Business Model</w:t>
      </w:r>
    </w:p>
    <w:p>
      <w:pPr>
        <w:pStyle w:val="Heading2"/>
        <w:spacing w:after="160" w:before="280"/>
      </w:pPr>
      <w:r>
        <w:rPr>
          <w:rFonts w:ascii="Arial" w:cs="Arial" w:eastAsia="Arial" w:hAnsi="Arial"/>
          <w:b/>
          <w:bCs/>
          <w:color w:val="2E4057"/>
          <w:sz w:val="28"/>
          <w:szCs w:val="28"/>
        </w:rP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57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the Merchant Gets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Single Health Check</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$299</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One on-demand session. Full 29-rule analysis. Heartbeat. Kanban board. Memos, CSVs, Square config push. Data destroyed after session.</w:t>
            </w:r>
          </w:p>
        </w:tc>
      </w:tr>
      <w:tr>
        <w:tc>
          <w:tcPr>
            <w:tcW w:type="dxa" w:w="2200"/>
            <w:tcBorders>
              <w:top w:val="single" w:color="DDDDDD" w:sz="1"/>
              <w:left w:val="single" w:color="DDDDDD" w:sz="1"/>
              <w:bottom w:val="single" w:color="DDDDDD" w:sz="1"/>
              <w:right w:val="single" w:color="DDDDDD"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Quarterly Audit</w:t>
            </w:r>
          </w:p>
        </w:tc>
        <w:tc>
          <w:tcPr>
            <w:tcW w:type="dxa" w:w="1400"/>
            <w:tcBorders>
              <w:top w:val="single" w:color="DDDDDD" w:sz="1"/>
              <w:left w:val="single" w:color="DDDDDD" w:sz="1"/>
              <w:bottom w:val="single" w:color="DDDDDD" w:sz="1"/>
              <w:right w:val="single" w:color="DDDDDD" w:sz="1"/>
            </w:tcBorders>
            <w:shd w:fill="F8F6F0" w:val="clear"/>
            <w:tcMar>
              <w:top w:type="dxa" w:w="80"/>
              <w:left w:type="dxa" w:w="120"/>
              <w:bottom w:type="dxa" w:w="80"/>
              <w:right w:type="dxa" w:w="120"/>
            </w:tcMar>
          </w:tcPr>
          <w:p>
            <w:r>
              <w:rPr>
                <w:rFonts w:ascii="Arial" w:cs="Arial" w:eastAsia="Arial" w:hAnsi="Arial"/>
                <w:b w:val="false"/>
                <w:bCs w:val="false"/>
                <w:color w:val="333333"/>
                <w:sz w:val="20"/>
                <w:szCs w:val="20"/>
              </w:rPr>
              <w:t xml:space="preserve">$199/mo</w:t>
            </w:r>
          </w:p>
        </w:tc>
        <w:tc>
          <w:tcPr>
            <w:tcW w:type="dxa" w:w="5760"/>
            <w:tcBorders>
              <w:top w:val="single" w:color="DDDDDD" w:sz="1"/>
              <w:left w:val="single" w:color="DDDDDD" w:sz="1"/>
              <w:bottom w:val="single" w:color="DDDDDD" w:sz="1"/>
              <w:right w:val="single" w:color="DDDDDD" w:sz="1"/>
            </w:tcBorders>
            <w:shd w:fill="F8F6F0" w:val="clear"/>
            <w:tcMar>
              <w:top w:type="dxa" w:w="80"/>
              <w:left w:type="dxa" w:w="120"/>
              <w:bottom w:type="dxa" w:w="80"/>
              <w:right w:type="dxa" w:w="120"/>
            </w:tcMar>
          </w:tcPr>
          <w:p>
            <w:r>
              <w:rPr>
                <w:rFonts w:ascii="Arial" w:cs="Arial" w:eastAsia="Arial" w:hAnsi="Arial"/>
                <w:b w:val="false"/>
                <w:bCs w:val="false"/>
                <w:color w:val="333333"/>
                <w:sz w:val="20"/>
                <w:szCs w:val="20"/>
              </w:rPr>
              <w:t xml:space="preserve">Health Check session every 90 days, plus on-demand sessions anytime. Trend comparison between audits.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Monthly Audit</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$149/mo</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Health Check on the 1st of every month plus on-demand anytime. Month-over-month trending. This is the core consulting product.</w:t>
            </w:r>
          </w:p>
        </w:tc>
      </w:tr>
      <w:tr>
        <w:tc>
          <w:tcPr>
            <w:tcW w:type="dxa" w:w="2200"/>
            <w:tcBorders>
              <w:top w:val="single" w:color="DDDDDD" w:sz="1"/>
              <w:left w:val="single" w:color="DDDDDD" w:sz="1"/>
              <w:bottom w:val="single" w:color="DDDDDD" w:sz="1"/>
              <w:right w:val="single" w:color="DDDDDD" w:sz="1"/>
            </w:tcBorders>
            <w:shd w:fill="F8F6F0" w:val="clear"/>
            <w:tcMar>
              <w:top w:type="dxa" w:w="80"/>
              <w:left w:type="dxa" w:w="120"/>
              <w:bottom w:type="dxa" w:w="80"/>
              <w:right w:type="dxa" w:w="120"/>
            </w:tcMar>
          </w:tcPr>
          <w:p>
            <w:r>
              <w:rPr>
                <w:rFonts w:ascii="Arial" w:cs="Arial" w:eastAsia="Arial" w:hAnsi="Arial"/>
                <w:b/>
                <w:bCs/>
                <w:color w:val="333333"/>
                <w:sz w:val="20"/>
                <w:szCs w:val="20"/>
              </w:rPr>
              <w:t xml:space="preserve">Weekly Pulse</w:t>
            </w:r>
          </w:p>
        </w:tc>
        <w:tc>
          <w:tcPr>
            <w:tcW w:type="dxa" w:w="1400"/>
            <w:tcBorders>
              <w:top w:val="single" w:color="DDDDDD" w:sz="1"/>
              <w:left w:val="single" w:color="DDDDDD" w:sz="1"/>
              <w:bottom w:val="single" w:color="DDDDDD" w:sz="1"/>
              <w:right w:val="single" w:color="DDDDDD" w:sz="1"/>
            </w:tcBorders>
            <w:shd w:fill="F8F6F0" w:val="clear"/>
            <w:tcMar>
              <w:top w:type="dxa" w:w="80"/>
              <w:left w:type="dxa" w:w="120"/>
              <w:bottom w:type="dxa" w:w="80"/>
              <w:right w:type="dxa" w:w="120"/>
            </w:tcMar>
          </w:tcPr>
          <w:p>
            <w:r>
              <w:rPr>
                <w:rFonts w:ascii="Arial" w:cs="Arial" w:eastAsia="Arial" w:hAnsi="Arial"/>
                <w:b w:val="false"/>
                <w:bCs w:val="false"/>
                <w:color w:val="333333"/>
                <w:sz w:val="20"/>
                <w:szCs w:val="20"/>
              </w:rPr>
              <w:t xml:space="preserve">$299/mo</w:t>
            </w:r>
          </w:p>
        </w:tc>
        <w:tc>
          <w:tcPr>
            <w:tcW w:type="dxa" w:w="5760"/>
            <w:tcBorders>
              <w:top w:val="single" w:color="DDDDDD" w:sz="1"/>
              <w:left w:val="single" w:color="DDDDDD" w:sz="1"/>
              <w:bottom w:val="single" w:color="DDDDDD" w:sz="1"/>
              <w:right w:val="single" w:color="DDDDDD" w:sz="1"/>
            </w:tcBorders>
            <w:shd w:fill="F8F6F0"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Automated weekly analysis with email summary. Full interactive session on demand. For the merchant who wants continuous oversight without continuous dashboards.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Sentinel Add-On</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+$99/mo</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Real-time return validation API. Serialized CRDM baseline persists between sessions. Every return scored against historical patterns.</w:t>
            </w:r>
          </w:p>
        </w:tc>
      </w:tr>
    </w:tbl>
    <w:p>
      <w:pPr>
        <w:spacing w:after="0" w:before="100"/>
      </w:pPr>
    </w:p>
    <w:p>
      <w:pPr>
        <w:pStyle w:val="Heading2"/>
        <w:spacing w:after="160" w:before="280"/>
      </w:pPr>
      <w:r>
        <w:rPr>
          <w:rFonts w:ascii="Arial" w:cs="Arial" w:eastAsia="Arial" w:hAnsi="Arial"/>
          <w:b/>
          <w:bCs/>
          <w:color w:val="2E4057"/>
          <w:sz w:val="28"/>
          <w:szCs w:val="28"/>
        </w:rPr>
        <w:t xml:space="preserve">Unit Economics</w:t>
      </w:r>
    </w:p>
    <w:p>
      <w:pPr>
        <w:spacing w:after="120" w:before="0"/>
        <w:jc w:val="left"/>
      </w:pPr>
      <w:r>
        <w:rPr>
          <w:rFonts w:ascii="Arial" w:cs="Arial" w:eastAsia="Arial" w:hAnsi="Arial"/>
          <w:b w:val="false"/>
          <w:bCs w:val="false"/>
          <w:i w:val="false"/>
          <w:iCs w:val="false"/>
          <w:color w:val="333333"/>
          <w:sz w:val="22"/>
          <w:szCs w:val="22"/>
        </w:rPr>
        <w:t xml:space="preserve">The Health Check model inverts the unit economics of traditional SaaS. There is no per-merchant infrastructure between sessions. Compute cost per session is measured in minutes of container time. Storage cost between sessions is zero (Health Check) or minimal (Sentinel baseline). The merchant pays hundreds of dollars for minutes of compute.</w:t>
      </w:r>
    </w:p>
    <w:p>
      <w:pPr>
        <w:pStyle w:val="ListParagraph"/>
        <w:numPr>
          <w:ilvl w:val="0"/>
          <w:numId w:val="3"/>
        </w:numPr>
        <w:spacing w:after="40" w:before="40"/>
      </w:pPr>
      <w:r>
        <w:rPr>
          <w:rFonts w:ascii="Arial" w:cs="Arial" w:eastAsia="Arial" w:hAnsi="Arial"/>
          <w:b/>
          <w:bCs/>
          <w:color w:val="333333"/>
          <w:sz w:val="22"/>
          <w:szCs w:val="22"/>
        </w:rPr>
        <w:t xml:space="preserve">No uptime guarantees </w:t>
      </w:r>
      <w:r>
        <w:rPr>
          <w:rFonts w:ascii="Arial" w:cs="Arial" w:eastAsia="Arial" w:hAnsi="Arial"/>
          <w:color w:val="333333"/>
          <w:sz w:val="22"/>
          <w:szCs w:val="22"/>
        </w:rPr>
        <w:t xml:space="preserve">— there is nothing running between sessions to keep alive</w:t>
      </w:r>
    </w:p>
    <w:p>
      <w:pPr>
        <w:pStyle w:val="ListParagraph"/>
        <w:numPr>
          <w:ilvl w:val="0"/>
          <w:numId w:val="3"/>
        </w:numPr>
        <w:spacing w:after="40" w:before="40"/>
      </w:pPr>
      <w:r>
        <w:rPr>
          <w:rFonts w:ascii="Arial" w:cs="Arial" w:eastAsia="Arial" w:hAnsi="Arial"/>
          <w:b/>
          <w:bCs/>
          <w:color w:val="333333"/>
          <w:sz w:val="22"/>
          <w:szCs w:val="22"/>
        </w:rPr>
        <w:t xml:space="preserve">No customer success overhead </w:t>
      </w:r>
      <w:r>
        <w:rPr>
          <w:rFonts w:ascii="Arial" w:cs="Arial" w:eastAsia="Arial" w:hAnsi="Arial"/>
          <w:color w:val="333333"/>
          <w:sz w:val="22"/>
          <w:szCs w:val="22"/>
        </w:rPr>
        <w:t xml:space="preserve">— the product is the consultant; it explains itself</w:t>
      </w:r>
    </w:p>
    <w:p>
      <w:pPr>
        <w:pStyle w:val="ListParagraph"/>
        <w:numPr>
          <w:ilvl w:val="0"/>
          <w:numId w:val="3"/>
        </w:numPr>
        <w:spacing w:after="40" w:before="40"/>
      </w:pPr>
      <w:r>
        <w:rPr>
          <w:rFonts w:ascii="Arial" w:cs="Arial" w:eastAsia="Arial" w:hAnsi="Arial"/>
          <w:b/>
          <w:bCs/>
          <w:color w:val="333333"/>
          <w:sz w:val="22"/>
          <w:szCs w:val="22"/>
        </w:rPr>
        <w:t xml:space="preserve">No support tickets </w:t>
      </w:r>
      <w:r>
        <w:rPr>
          <w:rFonts w:ascii="Arial" w:cs="Arial" w:eastAsia="Arial" w:hAnsi="Arial"/>
          <w:color w:val="333333"/>
          <w:sz w:val="22"/>
          <w:szCs w:val="22"/>
        </w:rPr>
        <w:t xml:space="preserve">— if the session works, there is nothing to support afterward</w:t>
      </w:r>
    </w:p>
    <w:p>
      <w:pPr>
        <w:pStyle w:val="ListParagraph"/>
        <w:numPr>
          <w:ilvl w:val="0"/>
          <w:numId w:val="3"/>
        </w:numPr>
        <w:spacing w:after="40" w:before="40"/>
      </w:pPr>
      <w:r>
        <w:rPr>
          <w:rFonts w:ascii="Arial" w:cs="Arial" w:eastAsia="Arial" w:hAnsi="Arial"/>
          <w:b/>
          <w:bCs/>
          <w:color w:val="333333"/>
          <w:sz w:val="22"/>
          <w:szCs w:val="22"/>
        </w:rPr>
        <w:t xml:space="preserve">No onboarding cost </w:t>
      </w:r>
      <w:r>
        <w:rPr>
          <w:rFonts w:ascii="Arial" w:cs="Arial" w:eastAsia="Arial" w:hAnsi="Arial"/>
          <w:color w:val="333333"/>
          <w:sz w:val="22"/>
          <w:szCs w:val="22"/>
        </w:rPr>
        <w:t xml:space="preserve">— the merchant authorizes Square and the analysis runs</w:t>
      </w:r>
    </w:p>
    <w:p>
      <w:pPr>
        <w:pStyle w:val="Heading2"/>
        <w:spacing w:after="160" w:before="280"/>
      </w:pPr>
      <w:r>
        <w:rPr>
          <w:rFonts w:ascii="Arial" w:cs="Arial" w:eastAsia="Arial" w:hAnsi="Arial"/>
          <w:b/>
          <w:bCs/>
          <w:color w:val="2E4057"/>
          <w:sz w:val="28"/>
          <w:szCs w:val="28"/>
        </w:rPr>
        <w:t xml:space="preserve">The Flywheel</w:t>
      </w:r>
    </w:p>
    <w:p>
      <w:pPr>
        <w:spacing w:after="120" w:before="0"/>
        <w:jc w:val="left"/>
      </w:pPr>
      <w:r>
        <w:rPr>
          <w:rFonts w:ascii="Arial" w:cs="Arial" w:eastAsia="Arial" w:hAnsi="Arial"/>
          <w:b w:val="false"/>
          <w:bCs w:val="false"/>
          <w:i w:val="false"/>
          <w:iCs w:val="false"/>
          <w:color w:val="333333"/>
          <w:sz w:val="22"/>
          <w:szCs w:val="22"/>
        </w:rPr>
        <w:t xml:space="preserve">Every tier naturally sells the next one:</w:t>
      </w:r>
    </w:p>
    <w:p>
      <w:pPr>
        <w:pStyle w:val="ListParagraph"/>
        <w:numPr>
          <w:ilvl w:val="0"/>
          <w:numId w:val="2"/>
        </w:numPr>
        <w:spacing w:after="40" w:before="40"/>
      </w:pPr>
      <w:r>
        <w:rPr>
          <w:rFonts w:ascii="Arial" w:cs="Arial" w:eastAsia="Arial" w:hAnsi="Arial"/>
          <w:b/>
          <w:bCs/>
          <w:color w:val="333333"/>
          <w:sz w:val="22"/>
          <w:szCs w:val="22"/>
        </w:rPr>
        <w:t xml:space="preserve">Single Health Check </w:t>
      </w:r>
      <w:r>
        <w:rPr>
          <w:rFonts w:ascii="Arial" w:cs="Arial" w:eastAsia="Arial" w:hAnsi="Arial"/>
          <w:color w:val="333333"/>
          <w:sz w:val="22"/>
          <w:szCs w:val="22"/>
        </w:rPr>
        <w:t xml:space="preserve">shows the merchant their problems. They see real findings in their own data. That is proof of value, not a sales pitch.</w:t>
      </w:r>
    </w:p>
    <w:p>
      <w:pPr>
        <w:pStyle w:val="ListParagraph"/>
        <w:numPr>
          <w:ilvl w:val="0"/>
          <w:numId w:val="2"/>
        </w:numPr>
        <w:spacing w:after="40" w:before="40"/>
      </w:pPr>
      <w:r>
        <w:rPr>
          <w:rFonts w:ascii="Arial" w:cs="Arial" w:eastAsia="Arial" w:hAnsi="Arial"/>
          <w:b/>
          <w:bCs/>
          <w:color w:val="333333"/>
          <w:sz w:val="22"/>
          <w:szCs w:val="22"/>
        </w:rPr>
        <w:t xml:space="preserve">Monthly Audit </w:t>
      </w:r>
      <w:r>
        <w:rPr>
          <w:rFonts w:ascii="Arial" w:cs="Arial" w:eastAsia="Arial" w:hAnsi="Arial"/>
          <w:color w:val="333333"/>
          <w:sz w:val="22"/>
          <w:szCs w:val="22"/>
        </w:rPr>
        <w:t xml:space="preserve">turns the health check into a recurring engagement. The merchant sees month-over-month trends. They develop the habit of checking their store health.</w:t>
      </w:r>
    </w:p>
    <w:p>
      <w:pPr>
        <w:pStyle w:val="ListParagraph"/>
        <w:numPr>
          <w:ilvl w:val="0"/>
          <w:numId w:val="2"/>
        </w:numPr>
        <w:spacing w:after="40" w:before="40"/>
      </w:pPr>
      <w:r>
        <w:rPr>
          <w:rFonts w:ascii="Arial" w:cs="Arial" w:eastAsia="Arial" w:hAnsi="Arial"/>
          <w:b/>
          <w:bCs/>
          <w:color w:val="333333"/>
          <w:sz w:val="22"/>
          <w:szCs w:val="22"/>
        </w:rPr>
        <w:t xml:space="preserve">Sentinel </w:t>
      </w:r>
      <w:r>
        <w:rPr>
          <w:rFonts w:ascii="Arial" w:cs="Arial" w:eastAsia="Arial" w:hAnsi="Arial"/>
          <w:color w:val="333333"/>
          <w:sz w:val="22"/>
          <w:szCs w:val="22"/>
        </w:rPr>
        <w:t xml:space="preserve">keeps the intelligence active between sessions. The merchant is now relying on Canary's analysis in real time for return validation.</w:t>
      </w:r>
    </w:p>
    <w:p>
      <w:pPr>
        <w:pStyle w:val="ListParagraph"/>
        <w:numPr>
          <w:ilvl w:val="0"/>
          <w:numId w:val="2"/>
        </w:numPr>
        <w:spacing w:after="40" w:before="40"/>
      </w:pPr>
      <w:r>
        <w:rPr>
          <w:rFonts w:ascii="Arial" w:cs="Arial" w:eastAsia="Arial" w:hAnsi="Arial"/>
          <w:b/>
          <w:bCs/>
          <w:color w:val="333333"/>
          <w:sz w:val="22"/>
          <w:szCs w:val="22"/>
        </w:rPr>
        <w:t xml:space="preserve">Full RaaS </w:t>
      </w:r>
      <w:r>
        <w:rPr>
          <w:rFonts w:ascii="Arial" w:cs="Arial" w:eastAsia="Arial" w:hAnsi="Arial"/>
          <w:color w:val="333333"/>
          <w:sz w:val="22"/>
          <w:szCs w:val="22"/>
        </w:rPr>
        <w:t xml:space="preserve">is the natural endpoint. The merchant who has been running monthly audits and real-time return validation for six months already trusts the engine. Full persistence, the Vault, case management, and Bitcoin-anchored evidence is an upgrade, not a leap of faith.</w:t>
      </w:r>
    </w:p>
    <w:p>
      <w:pPr>
        <w:spacing w:after="120" w:before="0"/>
        <w:jc w:val="left"/>
      </w:pPr>
      <w:r>
        <w:rPr>
          <w:rFonts w:ascii="Arial" w:cs="Arial" w:eastAsia="Arial" w:hAnsi="Arial"/>
          <w:b w:val="false"/>
          <w:bCs w:val="false"/>
          <w:i w:val="false"/>
          <w:iCs w:val="false"/>
          <w:color w:val="333333"/>
          <w:sz w:val="22"/>
          <w:szCs w:val="22"/>
        </w:rPr>
        <w:t xml:space="preserve">The data accelerates the upgrade. The CRDM serialization from the first Health Check becomes the Sentinel baseline. The Sentinel baseline becomes the RaaS foundation. The merchant never re-onboards. Each tier builds on the last.</w:t>
      </w:r>
    </w:p>
    <w:p>
      <w:r>
        <w:br w:type="page"/>
      </w:r>
    </w:p>
    <w:p>
      <w:pPr>
        <w:pStyle w:val="Heading1"/>
        <w:spacing w:after="200" w:before="360"/>
      </w:pPr>
      <w:r>
        <w:rPr>
          <w:rFonts w:ascii="Arial" w:cs="Arial" w:eastAsia="Arial" w:hAnsi="Arial"/>
          <w:b/>
          <w:bCs/>
          <w:color w:val="1A1A2E"/>
          <w:sz w:val="36"/>
          <w:szCs w:val="36"/>
        </w:rPr>
        <w:t xml:space="preserve">Data and Privacy</w:t>
      </w:r>
    </w:p>
    <w:p>
      <w:pPr>
        <w:spacing w:after="120" w:before="0"/>
        <w:jc w:val="left"/>
      </w:pPr>
      <w:r>
        <w:rPr>
          <w:rFonts w:ascii="Arial" w:cs="Arial" w:eastAsia="Arial" w:hAnsi="Arial"/>
          <w:b w:val="false"/>
          <w:bCs w:val="false"/>
          <w:i w:val="false"/>
          <w:iCs w:val="false"/>
          <w:color w:val="333333"/>
          <w:sz w:val="22"/>
          <w:szCs w:val="22"/>
        </w:rPr>
        <w:t xml:space="preserve">The ephemeral model is not a limitation. It is a feature. In a market where every SaaS vendor retains merchant data indefinitely, Canary destroys it by default.</w:t>
      </w:r>
    </w:p>
    <w:p>
      <w:pPr>
        <w:pStyle w:val="Heading2"/>
        <w:spacing w:after="160" w:before="280"/>
      </w:pPr>
      <w:r>
        <w:rPr>
          <w:rFonts w:ascii="Arial" w:cs="Arial" w:eastAsia="Arial" w:hAnsi="Arial"/>
          <w:b/>
          <w:bCs/>
          <w:color w:val="2E4057"/>
          <w:sz w:val="28"/>
          <w:szCs w:val="28"/>
        </w:rPr>
        <w:t xml:space="preserve">Health Check TOS</w:t>
      </w:r>
    </w:p>
    <w:p>
      <w:pPr>
        <w:pStyle w:val="ListParagraph"/>
        <w:numPr>
          <w:ilvl w:val="0"/>
          <w:numId w:val="3"/>
        </w:numPr>
        <w:spacing w:after="40" w:before="40"/>
      </w:pPr>
      <w:r>
        <w:rPr>
          <w:rFonts w:ascii="Arial" w:cs="Arial" w:eastAsia="Arial" w:hAnsi="Arial"/>
          <w:color w:val="333333"/>
          <w:sz w:val="22"/>
          <w:szCs w:val="22"/>
        </w:rPr>
        <w:t xml:space="preserve">Canary accesses Square data through OAuth with read-only permissions</w:t>
      </w:r>
    </w:p>
    <w:p>
      <w:pPr>
        <w:pStyle w:val="ListParagraph"/>
        <w:numPr>
          <w:ilvl w:val="0"/>
          <w:numId w:val="3"/>
        </w:numPr>
        <w:spacing w:after="40" w:before="40"/>
      </w:pPr>
      <w:r>
        <w:rPr>
          <w:rFonts w:ascii="Arial" w:cs="Arial" w:eastAsia="Arial" w:hAnsi="Arial"/>
          <w:color w:val="333333"/>
          <w:sz w:val="22"/>
          <w:szCs w:val="22"/>
        </w:rPr>
        <w:t xml:space="preserve">Data is serialized into CRDM format for analysis only</w:t>
      </w:r>
    </w:p>
    <w:p>
      <w:pPr>
        <w:pStyle w:val="ListParagraph"/>
        <w:numPr>
          <w:ilvl w:val="0"/>
          <w:numId w:val="3"/>
        </w:numPr>
        <w:spacing w:after="40" w:before="40"/>
      </w:pPr>
      <w:r>
        <w:rPr>
          <w:rFonts w:ascii="Arial" w:cs="Arial" w:eastAsia="Arial" w:hAnsi="Arial"/>
          <w:color w:val="333333"/>
          <w:sz w:val="22"/>
          <w:szCs w:val="22"/>
        </w:rPr>
        <w:t xml:space="preserve">All data is destroyed when the session ends</w:t>
      </w:r>
    </w:p>
    <w:p>
      <w:pPr>
        <w:pStyle w:val="ListParagraph"/>
        <w:numPr>
          <w:ilvl w:val="0"/>
          <w:numId w:val="3"/>
        </w:numPr>
        <w:spacing w:after="40" w:before="40"/>
      </w:pPr>
      <w:r>
        <w:rPr>
          <w:rFonts w:ascii="Arial" w:cs="Arial" w:eastAsia="Arial" w:hAnsi="Arial"/>
          <w:color w:val="333333"/>
          <w:sz w:val="22"/>
          <w:szCs w:val="22"/>
        </w:rPr>
        <w:t xml:space="preserve">No data is retained, stored, or shared after session close</w:t>
      </w:r>
    </w:p>
    <w:p>
      <w:pPr>
        <w:pStyle w:val="ListParagraph"/>
        <w:numPr>
          <w:ilvl w:val="0"/>
          <w:numId w:val="3"/>
        </w:numPr>
        <w:spacing w:after="40" w:before="40"/>
      </w:pPr>
      <w:r>
        <w:rPr>
          <w:rFonts w:ascii="Arial" w:cs="Arial" w:eastAsia="Arial" w:hAnsi="Arial"/>
          <w:color w:val="333333"/>
          <w:sz w:val="22"/>
          <w:szCs w:val="22"/>
        </w:rPr>
        <w:t xml:space="preserve">The merchant controls what they export (memos, CSVs) and what they push to Square</w:t>
      </w:r>
    </w:p>
    <w:p>
      <w:pPr>
        <w:pStyle w:val="Heading2"/>
        <w:spacing w:after="160" w:before="280"/>
      </w:pPr>
      <w:r>
        <w:rPr>
          <w:rFonts w:ascii="Arial" w:cs="Arial" w:eastAsia="Arial" w:hAnsi="Arial"/>
          <w:b/>
          <w:bCs/>
          <w:color w:val="2E4057"/>
          <w:sz w:val="28"/>
          <w:szCs w:val="28"/>
        </w:rPr>
        <w:t xml:space="preserve">Sentinel API Agreement</w:t>
      </w:r>
    </w:p>
    <w:p>
      <w:pPr>
        <w:pStyle w:val="ListParagraph"/>
        <w:numPr>
          <w:ilvl w:val="0"/>
          <w:numId w:val="3"/>
        </w:numPr>
        <w:spacing w:after="40" w:before="40"/>
      </w:pPr>
      <w:r>
        <w:rPr>
          <w:rFonts w:ascii="Arial" w:cs="Arial" w:eastAsia="Arial" w:hAnsi="Arial"/>
          <w:color w:val="333333"/>
          <w:sz w:val="22"/>
          <w:szCs w:val="22"/>
        </w:rPr>
        <w:t xml:space="preserve">The serialized CRDM baseline is retained for validation purposes</w:t>
      </w:r>
    </w:p>
    <w:p>
      <w:pPr>
        <w:pStyle w:val="ListParagraph"/>
        <w:numPr>
          <w:ilvl w:val="0"/>
          <w:numId w:val="3"/>
        </w:numPr>
        <w:spacing w:after="40" w:before="40"/>
      </w:pPr>
      <w:r>
        <w:rPr>
          <w:rFonts w:ascii="Arial" w:cs="Arial" w:eastAsia="Arial" w:hAnsi="Arial"/>
          <w:color w:val="333333"/>
          <w:sz w:val="22"/>
          <w:szCs w:val="22"/>
        </w:rPr>
        <w:t xml:space="preserve">Baseline data is merchant-scoped and isolated in its own partition</w:t>
      </w:r>
    </w:p>
    <w:p>
      <w:pPr>
        <w:pStyle w:val="ListParagraph"/>
        <w:numPr>
          <w:ilvl w:val="0"/>
          <w:numId w:val="3"/>
        </w:numPr>
        <w:spacing w:after="40" w:before="40"/>
      </w:pPr>
      <w:r>
        <w:rPr>
          <w:rFonts w:ascii="Arial" w:cs="Arial" w:eastAsia="Arial" w:hAnsi="Arial"/>
          <w:color w:val="333333"/>
          <w:sz w:val="22"/>
          <w:szCs w:val="22"/>
        </w:rPr>
        <w:t xml:space="preserve">No data is shared across merchants or used for any purpose other than the subscribing merchant's return validation</w:t>
      </w:r>
    </w:p>
    <w:p>
      <w:pPr>
        <w:pStyle w:val="ListParagraph"/>
        <w:numPr>
          <w:ilvl w:val="0"/>
          <w:numId w:val="3"/>
        </w:numPr>
        <w:spacing w:after="40" w:before="40"/>
      </w:pPr>
      <w:r>
        <w:rPr>
          <w:rFonts w:ascii="Arial" w:cs="Arial" w:eastAsia="Arial" w:hAnsi="Arial"/>
          <w:color w:val="333333"/>
          <w:sz w:val="22"/>
          <w:szCs w:val="22"/>
        </w:rPr>
        <w:t xml:space="preserve">Merchant can request deletion at any time, effective immediately</w:t>
      </w:r>
    </w:p>
    <w:p>
      <w:pPr>
        <w:pStyle w:val="Heading2"/>
        <w:spacing w:after="160" w:before="280"/>
      </w:pPr>
      <w:r>
        <w:rPr>
          <w:rFonts w:ascii="Arial" w:cs="Arial" w:eastAsia="Arial" w:hAnsi="Arial"/>
          <w:b/>
          <w:bCs/>
          <w:color w:val="2E4057"/>
          <w:sz w:val="28"/>
          <w:szCs w:val="28"/>
        </w:rPr>
        <w:t xml:space="preserve">RaaS Data Agreement</w:t>
      </w:r>
    </w:p>
    <w:p>
      <w:pPr>
        <w:pStyle w:val="ListParagraph"/>
        <w:numPr>
          <w:ilvl w:val="0"/>
          <w:numId w:val="3"/>
        </w:numPr>
        <w:spacing w:after="40" w:before="40"/>
      </w:pPr>
      <w:r>
        <w:rPr>
          <w:rFonts w:ascii="Arial" w:cs="Arial" w:eastAsia="Arial" w:hAnsi="Arial"/>
          <w:color w:val="333333"/>
          <w:sz w:val="22"/>
          <w:szCs w:val="22"/>
        </w:rPr>
        <w:t xml:space="preserve">Full data persistence under a separate agreement</w:t>
      </w:r>
    </w:p>
    <w:p>
      <w:pPr>
        <w:pStyle w:val="ListParagraph"/>
        <w:numPr>
          <w:ilvl w:val="0"/>
          <w:numId w:val="3"/>
        </w:numPr>
        <w:spacing w:after="40" w:before="40"/>
      </w:pPr>
      <w:r>
        <w:rPr>
          <w:rFonts w:ascii="Arial" w:cs="Arial" w:eastAsia="Arial" w:hAnsi="Arial"/>
          <w:color w:val="333333"/>
          <w:sz w:val="22"/>
          <w:szCs w:val="22"/>
        </w:rPr>
        <w:t xml:space="preserve">Hash-chained evidence with tamper-evident audit trail</w:t>
      </w:r>
    </w:p>
    <w:p>
      <w:pPr>
        <w:pStyle w:val="ListParagraph"/>
        <w:numPr>
          <w:ilvl w:val="0"/>
          <w:numId w:val="3"/>
        </w:numPr>
        <w:spacing w:after="40" w:before="40"/>
      </w:pPr>
      <w:r>
        <w:rPr>
          <w:rFonts w:ascii="Arial" w:cs="Arial" w:eastAsia="Arial" w:hAnsi="Arial"/>
          <w:color w:val="333333"/>
          <w:sz w:val="22"/>
          <w:szCs w:val="22"/>
        </w:rPr>
        <w:t xml:space="preserve">Bitcoin-anchored immutability for legal-grade evidence</w:t>
      </w:r>
    </w:p>
    <w:p>
      <w:pPr>
        <w:pStyle w:val="ListParagraph"/>
        <w:numPr>
          <w:ilvl w:val="0"/>
          <w:numId w:val="3"/>
        </w:numPr>
        <w:spacing w:after="40" w:before="40"/>
      </w:pPr>
      <w:r>
        <w:rPr>
          <w:rFonts w:ascii="Arial" w:cs="Arial" w:eastAsia="Arial" w:hAnsi="Arial"/>
          <w:color w:val="333333"/>
          <w:sz w:val="22"/>
          <w:szCs w:val="22"/>
        </w:rPr>
        <w:t xml:space="preserve">Merchant-first isolation: data bounded to the merchant's partition</w:t>
      </w:r>
    </w:p>
    <w:p>
      <w:pPr>
        <w:pStyle w:val="ListParagraph"/>
        <w:numPr>
          <w:ilvl w:val="0"/>
          <w:numId w:val="3"/>
        </w:numPr>
        <w:spacing w:after="40" w:before="40"/>
      </w:pPr>
      <w:r>
        <w:rPr>
          <w:rFonts w:ascii="Arial" w:cs="Arial" w:eastAsia="Arial" w:hAnsi="Arial"/>
          <w:color w:val="333333"/>
          <w:sz w:val="22"/>
          <w:szCs w:val="22"/>
        </w:rPr>
        <w:t xml:space="preserve">Compliance by construction: zero personally identifiable information on the Bitcoin layer</w:t>
      </w:r>
    </w:p>
    <w:p>
      <w:pPr>
        <w:pBdr>
          <w:left w:val="single" w:color="D4A843" w:sz="6" w:space="12"/>
        </w:pBdr>
        <w:spacing w:after="200" w:before="200"/>
        <w:ind w:left="720" w:right="720"/>
      </w:pPr>
      <w:r>
        <w:rPr>
          <w:rFonts w:ascii="Arial" w:cs="Arial" w:eastAsia="Arial" w:hAnsi="Arial"/>
          <w:i/>
          <w:iCs/>
          <w:color w:val="2E4057"/>
          <w:sz w:val="22"/>
          <w:szCs w:val="22"/>
        </w:rPr>
        <w:t xml:space="preserve">We do not keep your data unless you ask us to. And when you ask us to, we make it more secure than anywhere else it has ever lived.</w:t>
      </w:r>
    </w:p>
    <w:p>
      <w:pPr>
        <w:pStyle w:val="Heading1"/>
        <w:spacing w:after="200" w:before="360"/>
      </w:pPr>
      <w:r>
        <w:rPr>
          <w:rFonts w:ascii="Arial" w:cs="Arial" w:eastAsia="Arial" w:hAnsi="Arial"/>
          <w:b/>
          <w:bCs/>
          <w:color w:val="1A1A2E"/>
          <w:sz w:val="36"/>
          <w:szCs w:val="36"/>
        </w:rPr>
        <w:t xml:space="preserve">Go to Market</w:t>
      </w:r>
    </w:p>
    <w:p>
      <w:pPr>
        <w:spacing w:after="120" w:before="0"/>
        <w:jc w:val="left"/>
      </w:pPr>
      <w:r>
        <w:rPr>
          <w:rFonts w:ascii="Arial" w:cs="Arial" w:eastAsia="Arial" w:hAnsi="Arial"/>
          <w:b w:val="false"/>
          <w:bCs w:val="false"/>
          <w:i w:val="false"/>
          <w:iCs w:val="false"/>
          <w:color w:val="333333"/>
          <w:sz w:val="22"/>
          <w:szCs w:val="22"/>
        </w:rPr>
        <w:t xml:space="preserve">The Canary Health Check is the consulting business. It is how GrowDirect onboards its beta flock, generates revenue from day one, and converts merchants into recurring customers without the overhead of a traditional SaaS launch.</w:t>
      </w:r>
    </w:p>
    <w:p>
      <w:pPr>
        <w:pStyle w:val="Heading2"/>
        <w:spacing w:after="160" w:before="280"/>
      </w:pPr>
      <w:r>
        <w:rPr>
          <w:rFonts w:ascii="Arial" w:cs="Arial" w:eastAsia="Arial" w:hAnsi="Arial"/>
          <w:b/>
          <w:bCs/>
          <w:color w:val="2E4057"/>
          <w:sz w:val="28"/>
          <w:szCs w:val="28"/>
        </w:rPr>
        <w:t xml:space="preserve">Phase 1: Beta Flock (Q2 2026)</w:t>
      </w:r>
    </w:p>
    <w:p>
      <w:pPr>
        <w:pStyle w:val="ListParagraph"/>
        <w:numPr>
          <w:ilvl w:val="0"/>
          <w:numId w:val="3"/>
        </w:numPr>
        <w:spacing w:after="40" w:before="40"/>
      </w:pPr>
      <w:r>
        <w:rPr>
          <w:rFonts w:ascii="Arial" w:cs="Arial" w:eastAsia="Arial" w:hAnsi="Arial"/>
          <w:color w:val="333333"/>
          <w:sz w:val="22"/>
          <w:szCs w:val="22"/>
        </w:rPr>
        <w:t xml:space="preserve">Invite-only Health Checks for 25–50 Square merchants</w:t>
      </w:r>
    </w:p>
    <w:p>
      <w:pPr>
        <w:pStyle w:val="ListParagraph"/>
        <w:numPr>
          <w:ilvl w:val="0"/>
          <w:numId w:val="3"/>
        </w:numPr>
        <w:spacing w:after="40" w:before="40"/>
      </w:pPr>
      <w:r>
        <w:rPr>
          <w:rFonts w:ascii="Arial" w:cs="Arial" w:eastAsia="Arial" w:hAnsi="Arial"/>
          <w:color w:val="333333"/>
          <w:sz w:val="22"/>
          <w:szCs w:val="22"/>
        </w:rPr>
        <w:t xml:space="preserve">Direct outreach to merchants who process $500K–$5M annually</w:t>
      </w:r>
    </w:p>
    <w:p>
      <w:pPr>
        <w:pStyle w:val="ListParagraph"/>
        <w:numPr>
          <w:ilvl w:val="0"/>
          <w:numId w:val="3"/>
        </w:numPr>
        <w:spacing w:after="40" w:before="40"/>
      </w:pPr>
      <w:r>
        <w:rPr>
          <w:rFonts w:ascii="Arial" w:cs="Arial" w:eastAsia="Arial" w:hAnsi="Arial"/>
          <w:color w:val="333333"/>
          <w:sz w:val="22"/>
          <w:szCs w:val="22"/>
        </w:rPr>
        <w:t xml:space="preserve">Offer first Health Check at reduced price ($99) to build the case study library</w:t>
      </w:r>
    </w:p>
    <w:p>
      <w:pPr>
        <w:pStyle w:val="ListParagraph"/>
        <w:numPr>
          <w:ilvl w:val="0"/>
          <w:numId w:val="3"/>
        </w:numPr>
        <w:spacing w:after="40" w:before="40"/>
      </w:pPr>
      <w:r>
        <w:rPr>
          <w:rFonts w:ascii="Arial" w:cs="Arial" w:eastAsia="Arial" w:hAnsi="Arial"/>
          <w:color w:val="333333"/>
          <w:sz w:val="22"/>
          <w:szCs w:val="22"/>
        </w:rPr>
        <w:t xml:space="preserve">Every completed Health Check produces a testimonial data point: dollar exposure identified, actions taken, time to value</w:t>
      </w:r>
    </w:p>
    <w:p>
      <w:pPr>
        <w:pStyle w:val="Heading2"/>
        <w:spacing w:after="160" w:before="280"/>
      </w:pPr>
      <w:r>
        <w:rPr>
          <w:rFonts w:ascii="Arial" w:cs="Arial" w:eastAsia="Arial" w:hAnsi="Arial"/>
          <w:b/>
          <w:bCs/>
          <w:color w:val="2E4057"/>
          <w:sz w:val="28"/>
          <w:szCs w:val="28"/>
        </w:rPr>
        <w:t xml:space="preserve">Phase 2: Growth (Q3–Q4 2026)</w:t>
      </w:r>
    </w:p>
    <w:p>
      <w:pPr>
        <w:pStyle w:val="ListParagraph"/>
        <w:numPr>
          <w:ilvl w:val="0"/>
          <w:numId w:val="3"/>
        </w:numPr>
        <w:spacing w:after="40" w:before="40"/>
      </w:pPr>
      <w:r>
        <w:rPr>
          <w:rFonts w:ascii="Arial" w:cs="Arial" w:eastAsia="Arial" w:hAnsi="Arial"/>
          <w:color w:val="333333"/>
          <w:sz w:val="22"/>
          <w:szCs w:val="22"/>
        </w:rPr>
        <w:t xml:space="preserve">Open the Health Check to self-service sign-up through the Square App Marketplace</w:t>
      </w:r>
    </w:p>
    <w:p>
      <w:pPr>
        <w:pStyle w:val="ListParagraph"/>
        <w:numPr>
          <w:ilvl w:val="0"/>
          <w:numId w:val="3"/>
        </w:numPr>
        <w:spacing w:after="40" w:before="40"/>
      </w:pPr>
      <w:r>
        <w:rPr>
          <w:rFonts w:ascii="Arial" w:cs="Arial" w:eastAsia="Arial" w:hAnsi="Arial"/>
          <w:color w:val="333333"/>
          <w:sz w:val="22"/>
          <w:szCs w:val="22"/>
        </w:rPr>
        <w:t xml:space="preserve">Monthly audit subscriptions drive recurring revenue</w:t>
      </w:r>
    </w:p>
    <w:p>
      <w:pPr>
        <w:pStyle w:val="ListParagraph"/>
        <w:numPr>
          <w:ilvl w:val="0"/>
          <w:numId w:val="3"/>
        </w:numPr>
        <w:spacing w:after="40" w:before="40"/>
      </w:pPr>
      <w:r>
        <w:rPr>
          <w:rFonts w:ascii="Arial" w:cs="Arial" w:eastAsia="Arial" w:hAnsi="Arial"/>
          <w:color w:val="333333"/>
          <w:sz w:val="22"/>
          <w:szCs w:val="22"/>
        </w:rPr>
        <w:t xml:space="preserve">Sentinel add-on captures merchants who want always-on protection</w:t>
      </w:r>
    </w:p>
    <w:p>
      <w:pPr>
        <w:pStyle w:val="ListParagraph"/>
        <w:numPr>
          <w:ilvl w:val="0"/>
          <w:numId w:val="3"/>
        </w:numPr>
        <w:spacing w:after="40" w:before="40"/>
      </w:pPr>
      <w:r>
        <w:rPr>
          <w:rFonts w:ascii="Arial" w:cs="Arial" w:eastAsia="Arial" w:hAnsi="Arial"/>
          <w:color w:val="333333"/>
          <w:sz w:val="22"/>
          <w:szCs w:val="22"/>
        </w:rPr>
        <w:t xml:space="preserve">Case studies from beta flock power the marketing: "Canary found $47,000 in undetected refund fraud in one session"</w:t>
      </w:r>
    </w:p>
    <w:p>
      <w:pPr>
        <w:pStyle w:val="Heading2"/>
        <w:spacing w:after="160" w:before="280"/>
      </w:pPr>
      <w:r>
        <w:rPr>
          <w:rFonts w:ascii="Arial" w:cs="Arial" w:eastAsia="Arial" w:hAnsi="Arial"/>
          <w:b/>
          <w:bCs/>
          <w:color w:val="2E4057"/>
          <w:sz w:val="28"/>
          <w:szCs w:val="28"/>
        </w:rPr>
        <w:t xml:space="preserve">Phase 3: Platform (2027)</w:t>
      </w:r>
    </w:p>
    <w:p>
      <w:pPr>
        <w:pStyle w:val="ListParagraph"/>
        <w:numPr>
          <w:ilvl w:val="0"/>
          <w:numId w:val="3"/>
        </w:numPr>
        <w:spacing w:after="40" w:before="40"/>
      </w:pPr>
      <w:r>
        <w:rPr>
          <w:rFonts w:ascii="Arial" w:cs="Arial" w:eastAsia="Arial" w:hAnsi="Arial"/>
          <w:color w:val="333333"/>
          <w:sz w:val="22"/>
          <w:szCs w:val="22"/>
        </w:rPr>
        <w:t xml:space="preserve">Full RaaS tier for merchants ready for persistent monitoring</w:t>
      </w:r>
    </w:p>
    <w:p>
      <w:pPr>
        <w:pStyle w:val="ListParagraph"/>
        <w:numPr>
          <w:ilvl w:val="0"/>
          <w:numId w:val="3"/>
        </w:numPr>
        <w:spacing w:after="40" w:before="40"/>
      </w:pPr>
      <w:r>
        <w:rPr>
          <w:rFonts w:ascii="Arial" w:cs="Arial" w:eastAsia="Arial" w:hAnsi="Arial"/>
          <w:color w:val="333333"/>
          <w:sz w:val="22"/>
          <w:szCs w:val="22"/>
        </w:rPr>
        <w:t xml:space="preserve">The Vault, evidence chains, and Bitcoin-anchored immutability for merchants with legal or compliance needs</w:t>
      </w:r>
    </w:p>
    <w:p>
      <w:pPr>
        <w:pStyle w:val="ListParagraph"/>
        <w:numPr>
          <w:ilvl w:val="0"/>
          <w:numId w:val="3"/>
        </w:numPr>
        <w:spacing w:after="40" w:before="40"/>
      </w:pPr>
      <w:r>
        <w:rPr>
          <w:rFonts w:ascii="Arial" w:cs="Arial" w:eastAsia="Arial" w:hAnsi="Arial"/>
          <w:color w:val="333333"/>
          <w:sz w:val="22"/>
          <w:szCs w:val="22"/>
        </w:rPr>
        <w:t xml:space="preserve">Multi-POS expansion: Clover, Toast, and additional Square verticals</w:t>
      </w:r>
    </w:p>
    <w:p>
      <w:pPr>
        <w:pStyle w:val="ListParagraph"/>
        <w:numPr>
          <w:ilvl w:val="0"/>
          <w:numId w:val="3"/>
        </w:numPr>
        <w:spacing w:after="40" w:before="40"/>
      </w:pPr>
      <w:r>
        <w:rPr>
          <w:rFonts w:ascii="Arial" w:cs="Arial" w:eastAsia="Arial" w:hAnsi="Arial"/>
          <w:color w:val="333333"/>
          <w:sz w:val="22"/>
          <w:szCs w:val="22"/>
        </w:rPr>
        <w:t xml:space="preserve">The Health Check remains the front door for every new merchant regardless of tier</w:t>
      </w:r>
    </w:p>
    <w:p>
      <w:r>
        <w:br w:type="page"/>
      </w:r>
    </w:p>
    <w:p>
      <w:pPr>
        <w:pStyle w:val="Heading1"/>
        <w:spacing w:after="200" w:before="360"/>
      </w:pPr>
      <w:r>
        <w:rPr>
          <w:rFonts w:ascii="Arial" w:cs="Arial" w:eastAsia="Arial" w:hAnsi="Arial"/>
          <w:b/>
          <w:bCs/>
          <w:color w:val="1A1A2E"/>
          <w:sz w:val="36"/>
          <w:szCs w:val="36"/>
        </w:rPr>
        <w:t xml:space="preserve">Why This Works</w:t>
      </w:r>
    </w:p>
    <w:p>
      <w:pPr>
        <w:spacing w:after="120" w:before="0"/>
        <w:jc w:val="left"/>
      </w:pPr>
      <w:r>
        <w:rPr>
          <w:rFonts w:ascii="Arial" w:cs="Arial" w:eastAsia="Arial" w:hAnsi="Arial"/>
          <w:b w:val="false"/>
          <w:bCs w:val="false"/>
          <w:i w:val="false"/>
          <w:iCs w:val="false"/>
          <w:color w:val="333333"/>
          <w:sz w:val="22"/>
          <w:szCs w:val="22"/>
        </w:rPr>
        <w:t xml:space="preserve">The loss prevention market is split between enterprise platforms that small merchants cannot afford and generic analytics tools that do not know what to look for. The Canary Health Check sits in the gap.</w:t>
      </w:r>
    </w:p>
    <w:p>
      <w:pPr>
        <w:spacing w:after="120" w:before="0"/>
        <w:jc w:val="left"/>
      </w:pPr>
      <w:r>
        <w:rPr>
          <w:rFonts w:ascii="Arial" w:cs="Arial" w:eastAsia="Arial" w:hAnsi="Arial"/>
          <w:b w:val="false"/>
          <w:bCs w:val="false"/>
          <w:i w:val="false"/>
          <w:iCs w:val="false"/>
          <w:color w:val="333333"/>
          <w:sz w:val="22"/>
          <w:szCs w:val="22"/>
        </w:rPr>
        <w:t xml:space="preserve">It works because the engine already exists. Chirp's 29 rules, Owl's AI layer, and the CRDM namespace were built to power enterprise-grade loss prevention. The Health Check packages that same engine as a session. The merchant gets enterprise intelligence at a fraction of the cost, with zero ongoing commitment.</w:t>
      </w:r>
    </w:p>
    <w:p>
      <w:pPr>
        <w:spacing w:after="120" w:before="0"/>
        <w:jc w:val="left"/>
      </w:pPr>
      <w:r>
        <w:rPr>
          <w:rFonts w:ascii="Arial" w:cs="Arial" w:eastAsia="Arial" w:hAnsi="Arial"/>
          <w:b w:val="false"/>
          <w:bCs w:val="false"/>
          <w:i w:val="false"/>
          <w:iCs w:val="false"/>
          <w:color w:val="333333"/>
          <w:sz w:val="22"/>
          <w:szCs w:val="22"/>
        </w:rPr>
        <w:t xml:space="preserve">It works because the model is honest. No data retention unless the merchant opts in. No subscriptions required unless the merchant wants recurring audits. No lock-in, no annual contracts, no switching costs manufactured by design. The switching cost is the value of the analysis, not the terms of the agreement.</w:t>
      </w:r>
    </w:p>
    <w:p>
      <w:pPr>
        <w:spacing w:after="120" w:before="0"/>
        <w:jc w:val="left"/>
      </w:pPr>
      <w:r>
        <w:rPr>
          <w:rFonts w:ascii="Arial" w:cs="Arial" w:eastAsia="Arial" w:hAnsi="Arial"/>
          <w:b w:val="false"/>
          <w:bCs w:val="false"/>
          <w:i w:val="false"/>
          <w:iCs w:val="false"/>
          <w:color w:val="333333"/>
          <w:sz w:val="22"/>
          <w:szCs w:val="22"/>
        </w:rPr>
        <w:t xml:space="preserve">It works because it scales without complexity. Every Health Check is an ephemeral session. There is no per-merchant infrastructure to maintain. The same container image serves every merchant. The same rules fire against every dataset. The same AI analyzes every finding. Add a merchant, run a session. The infrastructure does not grow with the customer count.</w:t>
      </w:r>
    </w:p>
    <w:p>
      <w:pPr>
        <w:pBdr>
          <w:left w:val="single" w:color="D4A843" w:sz="6" w:space="12"/>
        </w:pBdr>
        <w:spacing w:after="200" w:before="200"/>
        <w:ind w:left="720" w:right="720"/>
      </w:pPr>
      <w:r>
        <w:rPr>
          <w:rFonts w:ascii="Arial" w:cs="Arial" w:eastAsia="Arial" w:hAnsi="Arial"/>
          <w:i/>
          <w:iCs/>
          <w:color w:val="2E4057"/>
          <w:sz w:val="22"/>
          <w:szCs w:val="22"/>
        </w:rPr>
        <w:t xml:space="preserve">A consultant shows up, does the work, gives you the findings, and leaves. That is what this product does. Except the consultant has a 14-billion parameter neural network, 29 detection rules, and a data model that connects every transaction in your store to every employee, device, and location that touched it. And it costs $299.</w:t>
      </w:r>
    </w:p>
    <w:p>
      <w:pPr>
        <w:spacing w:after="0" w:before="200"/>
      </w:pPr>
    </w:p>
    <w:p>
      <w:pPr>
        <w:jc w:val="center"/>
      </w:pPr>
      <w:r>
        <w:rPr>
          <w:rFonts w:ascii="Arial" w:cs="Arial" w:eastAsia="Arial" w:hAnsi="Arial"/>
          <w:b/>
          <w:bCs/>
          <w:color w:val="1A1A2E"/>
          <w:sz w:val="28"/>
          <w:szCs w:val="28"/>
        </w:rPr>
        <w:t xml:space="preserve">Canary Health Check</w:t>
      </w:r>
    </w:p>
    <w:p>
      <w:pPr>
        <w:spacing w:after="80"/>
        <w:jc w:val="center"/>
      </w:pPr>
      <w:r>
        <w:rPr>
          <w:rFonts w:ascii="Arial" w:cs="Arial" w:eastAsia="Arial" w:hAnsi="Arial"/>
          <w:i/>
          <w:iCs/>
          <w:color w:val="2E4057"/>
          <w:sz w:val="24"/>
          <w:szCs w:val="24"/>
        </w:rPr>
        <w:t xml:space="preserve">A Consultant in a Box</w:t>
      </w:r>
    </w:p>
    <w:p>
      <w:pPr>
        <w:spacing w:after="80"/>
        <w:jc w:val="center"/>
      </w:pPr>
      <w:r>
        <w:rPr>
          <w:rFonts w:ascii="Arial" w:cs="Arial" w:eastAsia="Arial" w:hAnsi="Arial"/>
          <w:color w:val="6B7280"/>
          <w:sz w:val="20"/>
          <w:szCs w:val="20"/>
        </w:rPr>
        <w:t xml:space="preserve">GrowDirect Inc. | growdirect.app</w:t>
      </w:r>
    </w:p>
    <w:p>
      <w:pPr>
        <w:jc w:val="center"/>
      </w:pPr>
      <w:r>
        <w:rPr>
          <w:rFonts w:ascii="Arial" w:cs="Arial" w:eastAsia="Arial" w:hAnsi="Arial"/>
          <w:i/>
          <w:iCs/>
          <w:color w:val="6B7280"/>
          <w:sz w:val="18"/>
          <w:szCs w:val="18"/>
        </w:rPr>
        <w:t xml:space="preserve">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43" w:sz="1" w:space="4"/>
      </w:pBdr>
      <w:tabs>
        <w:tab w:val="right" w:pos="9026"/>
      </w:tabs>
    </w:pPr>
    <w:r>
      <w:rPr>
        <w:rFonts w:ascii="Arial" w:cs="Arial" w:eastAsia="Arial" w:hAnsi="Arial"/>
        <w:color w:val="6B7280"/>
        <w:sz w:val="16"/>
        <w:szCs w:val="16"/>
      </w:rPr>
      <w:t xml:space="preserve">GrowDirect Inc. | Confidential</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1" w:space="4"/>
      </w:pBdr>
      <w:tabs>
        <w:tab w:val="right" w:pos="9026"/>
      </w:tabs>
    </w:pPr>
    <w:r>
      <w:rPr>
        <w:rFonts w:ascii="Arial" w:cs="Arial" w:eastAsia="Arial" w:hAnsi="Arial"/>
        <w:color w:val="6B7280"/>
        <w:sz w:val="18"/>
        <w:szCs w:val="18"/>
      </w:rPr>
      <w:t xml:space="preserve">Canary Health Check</w:t>
    </w:r>
    <w:r>
      <w:rPr>
        <w:rFonts w:ascii="Arial" w:cs="Arial" w:eastAsia="Arial" w:hAnsi="Arial"/>
        <w:color w:val="6B7280"/>
        <w:sz w:val="18"/>
        <w:szCs w:val="18"/>
      </w:rPr>
      <w:t xml:space="preserve">	Product Brief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6"/>
      <w:szCs w:val="36"/>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2026-03-06T20:09:06.254Z</dcterms:created>
  <dcterms:modified xsi:type="dcterms:W3CDTF">2026-03-06T20:09:06.254Z</dcterms:modified>
</cp:coreProperties>
</file>

<file path=docProps/custom.xml><?xml version="1.0" encoding="utf-8"?>
<Properties xmlns="http://schemas.openxmlformats.org/officeDocument/2006/custom-properties" xmlns:vt="http://schemas.openxmlformats.org/officeDocument/2006/docPropsVTypes"/>
</file>