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FBBF24"/>
          <w:sz w:val="36"/>
          <w:szCs w:val="36"/>
        </w:rPr>
        <w:t xml:space="preserve">POSITION PAPER</w:t>
      </w:r>
    </w:p>
    <w:p>
      <w:pPr>
        <w:spacing w:after="480"/>
        <w:jc w:val="center"/>
      </w:pPr>
      <w:r>
        <w:rPr>
          <w:b/>
          <w:bCs/>
          <w:sz w:val="28"/>
          <w:szCs w:val="28"/>
        </w:rPr>
        <w:t xml:space="preserve">Canary&amp;#x2019;s Competitive Strategy Against Traditional Payment Processors: Micropayments, Merchant Empowerment, and the End of the 3%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Author: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Syd, Legal Counsel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16,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Classification: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Confidential &amp; Proprietary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bl>
    <w:p>
      <w:pPr>
        <w:spacing w:after="240"/>
      </w:pPr>
    </w:p>
    <w:p>
      <w:pPr>
        <w:pStyle w:val="Heading1"/>
      </w:pPr>
      <w:r>
        <w:t xml:space="preserve">Executive Summary</w:t>
      </w:r>
    </w:p>
    <w:p>
      <w:pPr>
        <w:spacing w:after="240"/>
      </w:pPr>
      <w:r>
        <w:t xml:space="preserve">This position paper outlines Canary&amp;#x2019;s competitive strategy against incumbent payment processors (Visa, Mastercard, American Express, and traditional merchant acquiring banks). Our core thesis: merchants pay up to 3% in transaction fees for a service that actively harms them through chargeback fraud liability, poor fraud detection, and multi-day settlement delays. Canary&amp;#x2019;s Lightning Network-based micropayment infrastructure eliminates these costs while providing superior fraud protection. This is not a loss prevention play &amp;#x2014; this is a direct assault on the payment processor cartel.</w:t>
      </w:r>
    </w:p>
    <w:p>
      <w:pPr>
        <w:spacing w:after="240"/>
      </w:pPr>
      <w:r>
        <w:t xml:space="preserve">Legal analysis confirms this strategy is viable, defensible, and compliant with applicable regulations when structured correctly. Key findings: (1) Non-custodial Lightning integration avoids money transmitter licensing; (2) Bitcoin payments eliminate chargeback risk entirely; (3) Micropayment economics enable pay-per-use pricing inaccessible to traditional processors; (4) Merchant empowerment narrative positions Canary as pro-merchant, anti-bank. Recommended action: proceed with aggressive market positioning while maintaining strict regulatory compliance.</w:t>
      </w:r>
    </w:p>
    <w:p>
      <w:pPr>
        <w:spacing w:after="360"/>
      </w:pPr>
    </w:p>
    <w:p>
      <w:pPr>
        <w:pStyle w:val="Heading1"/>
      </w:pPr>
      <w:r>
        <w:t xml:space="preserve">1. The Payment Processor Problem: A $100 Billion Extraction Tax</w:t>
      </w:r>
    </w:p>
    <w:p>
      <w:pPr>
        <w:pStyle w:val="Heading2"/>
      </w:pPr>
      <w:r>
        <w:t xml:space="preserve">1.1 Transaction Fees: The Merchant Tax</w:t>
      </w:r>
    </w:p>
    <w:p>
      <w:pPr>
        <w:spacing w:after="120"/>
      </w:pPr>
      <w:r>
        <w:t xml:space="preserve">U.S. merchants pay approximately 2&amp;#x2013;3% per credit card transaction, comprising:</w:t>
      </w:r>
    </w:p>
    <w:p>
      <w:pPr>
        <w:pStyle w:val="ListParagraph"/>
        <w:numPr>
          <w:ilvl w:val="0"/>
          <w:numId w:val="2"/>
        </w:numPr>
      </w:pPr>
      <w:r>
        <w:t xml:space="preserve">Interchange fees (1.5&amp;#x2013;2.5%): paid to card-issuing banks</w:t>
      </w:r>
    </w:p>
    <w:p>
      <w:pPr>
        <w:pStyle w:val="ListParagraph"/>
        <w:numPr>
          <w:ilvl w:val="0"/>
          <w:numId w:val="2"/>
        </w:numPr>
      </w:pPr>
      <w:r>
        <w:t xml:space="preserve">Assessment fees (0.13&amp;#x2013;0.15%): paid to card networks (Visa/Mastercard)</w:t>
      </w:r>
    </w:p>
    <w:p>
      <w:pPr>
        <w:pStyle w:val="ListParagraph"/>
        <w:numPr>
          <w:ilvl w:val="0"/>
          <w:numId w:val="2"/>
        </w:numPr>
      </w:pPr>
      <w:r>
        <w:t xml:space="preserve">Payment processor markup (0.1&amp;#x2013;0.5%): acquiring bank profit</w:t>
      </w:r>
    </w:p>
    <w:p>
      <w:pPr>
        <w:spacing w:before="120" w:after="240"/>
      </w:pPr>
      <w:r>
        <w:t xml:space="preserve">For a small merchant processing $500,000 annually, this represents $10,000&amp;#x2013;$15,000 in pure rent extraction. For Square&amp;#x2019;s 4+ million merchants processing $241 billion annually, the aggregate cost exceeds $5 billion. This is not a service fee &amp;#x2014; it&amp;#x2019;s a protection racket.</w:t>
      </w:r>
    </w:p>
    <w:p>
      <w:pPr>
        <w:pStyle w:val="Heading2"/>
      </w:pPr>
      <w:r>
        <w:t xml:space="preserve">1.2 Chargeback Fraud: Liability Shifted to Merchants</w:t>
      </w:r>
    </w:p>
    <w:p>
      <w:pPr>
        <w:spacing w:after="120"/>
      </w:pPr>
      <w:r>
        <w:t xml:space="preserve">Credit card networks operate under a &amp;#x201C;guilty until proven innocent&amp;#x201D; chargeback system:</w:t>
      </w:r>
    </w:p>
    <w:p>
      <w:pPr>
        <w:pStyle w:val="ListParagraph"/>
        <w:numPr>
          <w:ilvl w:val="0"/>
          <w:numId w:val="2"/>
        </w:numPr>
      </w:pPr>
      <w:r>
        <w:t xml:space="preserve">Customer disputes charge &amp;#x2192; funds immediately reversed from merchant account</w:t>
      </w:r>
    </w:p>
    <w:p>
      <w:pPr>
        <w:pStyle w:val="ListParagraph"/>
        <w:numPr>
          <w:ilvl w:val="0"/>
          <w:numId w:val="2"/>
        </w:numPr>
      </w:pPr>
      <w:r>
        <w:t xml:space="preserve">Merchant must prove transaction was legitimate (burden of proof on merchant)</w:t>
      </w:r>
    </w:p>
    <w:p>
      <w:pPr>
        <w:pStyle w:val="ListParagraph"/>
        <w:numPr>
          <w:ilvl w:val="0"/>
          <w:numId w:val="2"/>
        </w:numPr>
      </w:pPr>
      <w:r>
        <w:t xml:space="preserve">Even with proof, chargeback fees ($15&amp;#x2013;$100 per incident) remain</w:t>
      </w:r>
    </w:p>
    <w:p>
      <w:pPr>
        <w:pStyle w:val="ListParagraph"/>
        <w:numPr>
          <w:ilvl w:val="0"/>
          <w:numId w:val="2"/>
        </w:numPr>
      </w:pPr>
      <w:r>
        <w:t xml:space="preserve">High chargeback ratios (&gt;1%) trigger account termination or reserve holds</w:t>
      </w:r>
    </w:p>
    <w:p>
      <w:pPr>
        <w:spacing w:before="120" w:after="240"/>
      </w:pPr>
      <w:r>
        <w:t xml:space="preserve">Chargeback fraud (also called &amp;#x201C;friendly fraud&amp;#x201D;) costs U.S. merchants $31 billion annually. Banks do minimal fraud prevention because they don&amp;#x2019;t bear the cost &amp;#x2014; merchants do. This is a moral hazard by design.</w:t>
      </w:r>
    </w:p>
    <w:p>
      <w:pPr>
        <w:pStyle w:val="Heading2"/>
      </w:pPr>
      <w:r>
        <w:t xml:space="preserve">1.3 Settlement Delays: Working Capital Hostage</w:t>
      </w:r>
    </w:p>
    <w:p>
      <w:pPr>
        <w:spacing w:after="240"/>
      </w:pPr>
      <w:r>
        <w:t xml:space="preserve">Traditional payment processors operate on 2&amp;#x2013;3 day settlement cycles (via ACH). Square offers next-day settlement as a premium feature. This delay ties up merchant working capital, preventing inventory replenishment, payroll funding, and operational flexibility. For cash-strapped small businesses, this is an invisible tax.</w:t>
      </w:r>
    </w:p>
    <w:p>
      <w:pPr>
        <w:pStyle w:val="Heading2"/>
      </w:pPr>
      <w:r>
        <w:t xml:space="preserve">1.4 Poor Fraud Detection: The Merchants Pay Twice</w:t>
      </w:r>
    </w:p>
    <w:p>
      <w:pPr>
        <w:spacing w:after="360"/>
      </w:pPr>
      <w:r>
        <w:t xml:space="preserve">Credit card networks invest billions in fraud detection &amp;#x2014; to protect themselves, not merchants. When fraud occurs, the liability falls on the merchant (via chargebacks) or the card issuer (who passes costs to merchants via higher interchange fees). Merchants pay for inadequate fraud protection, then pay again when that protection fails. This is the system Canary replaces.</w:t>
      </w:r>
    </w:p>
    <w:p>
      <w:pPr>
        <w:pStyle w:val="Heading1"/>
      </w:pPr>
      <w:r>
        <w:t xml:space="preserve">2. Canary&amp;#x2019;s Micropayment Solution: Instant, Final, Frictionless</w:t>
      </w:r>
    </w:p>
    <w:p>
      <w:pPr>
        <w:pStyle w:val="Heading2"/>
      </w:pPr>
      <w:r>
        <w:t xml:space="preserve">2.1 Lightning Network: The Technical Foundation</w:t>
      </w:r>
    </w:p>
    <w:p>
      <w:pPr>
        <w:spacing w:after="120"/>
      </w:pPr>
      <w:r>
        <w:t xml:space="preserve">Lightning Network enables instant, near-zero-fee Bitcoin payments:</w:t>
      </w:r>
    </w:p>
    <w:p>
      <w:pPr>
        <w:pStyle w:val="ListParagraph"/>
        <w:numPr>
          <w:ilvl w:val="0"/>
          <w:numId w:val="2"/>
        </w:numPr>
      </w:pPr>
      <w:r>
        <w:rPr>
          <w:b/>
          <w:bCs/>
        </w:rPr>
        <w:t xml:space="preserve">Transaction fees: </w:t>
      </w:r>
      <w:r>
        <w:t xml:space="preserve">~0.1% (vs. 3% for credit cards)</w:t>
      </w:r>
    </w:p>
    <w:p>
      <w:pPr>
        <w:pStyle w:val="ListParagraph"/>
        <w:numPr>
          <w:ilvl w:val="0"/>
          <w:numId w:val="2"/>
        </w:numPr>
      </w:pPr>
      <w:r>
        <w:rPr>
          <w:b/>
          <w:bCs/>
        </w:rPr>
        <w:t xml:space="preserve">Settlement speed: </w:t>
      </w:r>
      <w:r>
        <w:t xml:space="preserve">Instant (vs. 2&amp;#x2013;3 days for ACH)</w:t>
      </w:r>
    </w:p>
    <w:p>
      <w:pPr>
        <w:pStyle w:val="ListParagraph"/>
        <w:numPr>
          <w:ilvl w:val="0"/>
          <w:numId w:val="2"/>
        </w:numPr>
      </w:pPr>
      <w:r>
        <w:rPr>
          <w:b/>
          <w:bCs/>
        </w:rPr>
        <w:t xml:space="preserve">Chargeback risk: </w:t>
      </w:r>
      <w:r>
        <w:t xml:space="preserve">Zero (Bitcoin payments are final)</w:t>
      </w:r>
    </w:p>
    <w:p>
      <w:pPr>
        <w:pStyle w:val="ListParagraph"/>
        <w:numPr>
          <w:ilvl w:val="0"/>
          <w:numId w:val="2"/>
        </w:numPr>
      </w:pPr>
      <w:r>
        <w:rPr>
          <w:b/>
          <w:bCs/>
        </w:rPr>
        <w:t xml:space="preserve">Micropayment capability: </w:t>
      </w:r>
      <w:r>
        <w:t xml:space="preserve">Down to 1 satoshi (~$0.0001 USD)</w:t>
      </w:r>
    </w:p>
    <w:p>
      <w:pPr>
        <w:pStyle w:val="ListParagraph"/>
        <w:numPr>
          <w:ilvl w:val="0"/>
          <w:numId w:val="2"/>
        </w:numPr>
      </w:pPr>
      <w:r>
        <w:rPr>
          <w:b/>
          <w:bCs/>
        </w:rPr>
        <w:t xml:space="preserve">Merchant control: </w:t>
      </w:r>
      <w:r>
        <w:t xml:space="preserve">Self-custody wallets (non-custodial)</w:t>
      </w:r>
    </w:p>
    <w:p>
      <w:pPr>
        <w:spacing w:before="120" w:after="240"/>
      </w:pPr>
      <w:r>
        <w:t xml:space="preserve">This is not theoretical. Projects like Nostr (decentralized social), Fountain (podcasting), and Stacker News (forums) use Lightning for micropayments today. Canary applies these proven patterns to retail loss prevention.</w:t>
      </w:r>
    </w:p>
    <w:p>
      <w:pPr>
        <w:pStyle w:val="Heading2"/>
      </w:pPr>
      <w:r>
        <w:t xml:space="preserve">2.2 Canary&amp;#x2019;s Architecture: Merchant-Friendly Micropayments</w:t>
      </w:r>
    </w:p>
    <w:p>
      <w:pPr>
        <w:spacing w:after="120"/>
      </w:pPr>
      <w:r>
        <w:t xml:space="preserve">Canary uses Lightning for three core functions:</w:t>
      </w:r>
    </w:p>
    <w:p>
      <w:pPr>
        <w:spacing w:after="120"/>
      </w:pPr>
      <w:r>
        <w:rPr>
          <w:b/>
          <w:bCs/>
        </w:rPr>
        <w:t xml:space="preserve">A. Spam-Resistant Access Control (L402 Protocol)</w:t>
      </w:r>
    </w:p>
    <w:p>
      <w:pPr>
        <w:pStyle w:val="ListParagraph"/>
        <w:numPr>
          <w:ilvl w:val="0"/>
          <w:numId w:val="2"/>
        </w:numPr>
      </w:pPr>
      <w:r>
        <w:t xml:space="preserve">API requests cost 1&amp;#x2013;10 sats (~$0.0001&amp;#x2013;$0.001 USD)</w:t>
      </w:r>
    </w:p>
    <w:p>
      <w:pPr>
        <w:pStyle w:val="ListParagraph"/>
        <w:numPr>
          <w:ilvl w:val="0"/>
          <w:numId w:val="2"/>
        </w:numPr>
      </w:pPr>
      <w:r>
        <w:t xml:space="preserve">DDoS attacks become economically prohibitive (botnet must pay per request)</w:t>
      </w:r>
    </w:p>
    <w:p>
      <w:pPr>
        <w:pStyle w:val="ListParagraph"/>
        <w:numPr>
          <w:ilvl w:val="0"/>
          <w:numId w:val="2"/>
        </w:numPr>
      </w:pPr>
      <w:r>
        <w:t xml:space="preserve">Legitimate users experience no friction (auto-payment via wallet)</w:t>
      </w:r>
    </w:p>
    <w:p>
      <w:pPr>
        <w:spacing w:before="120" w:after="120"/>
      </w:pPr>
      <w:r>
        <w:rPr>
          <w:b/>
          <w:bCs/>
        </w:rPr>
        <w:t xml:space="preserve">B. Passwordless Authentication (LNURL-Auth)</w:t>
      </w:r>
    </w:p>
    <w:p>
      <w:pPr>
        <w:pStyle w:val="ListParagraph"/>
        <w:numPr>
          <w:ilvl w:val="0"/>
          <w:numId w:val="2"/>
        </w:numPr>
      </w:pPr>
      <w:r>
        <w:t xml:space="preserve">Lightning wallet = merchant identity (cryptographic pubkey)</w:t>
      </w:r>
    </w:p>
    <w:p>
      <w:pPr>
        <w:pStyle w:val="ListParagraph"/>
        <w:numPr>
          <w:ilvl w:val="0"/>
          <w:numId w:val="2"/>
        </w:numPr>
      </w:pPr>
      <w:r>
        <w:t xml:space="preserve">No password database to breach (eliminates credential stuffing risk)</w:t>
      </w:r>
    </w:p>
    <w:p>
      <w:pPr>
        <w:pStyle w:val="ListParagraph"/>
        <w:numPr>
          <w:ilvl w:val="0"/>
          <w:numId w:val="2"/>
        </w:numPr>
      </w:pPr>
      <w:r>
        <w:t xml:space="preserve">Privacy-preserving (pseudonymous, not tied to email/phone)</w:t>
      </w:r>
    </w:p>
    <w:p>
      <w:pPr>
        <w:spacing w:before="120" w:after="120"/>
      </w:pPr>
      <w:r>
        <w:rPr>
          <w:b/>
          <w:bCs/>
        </w:rPr>
        <w:t xml:space="preserve">C. Economic Network Participation (BOLO Staking)</w:t>
      </w:r>
    </w:p>
    <w:p>
      <w:pPr>
        <w:pStyle w:val="ListParagraph"/>
        <w:numPr>
          <w:ilvl w:val="0"/>
          <w:numId w:val="2"/>
        </w:numPr>
      </w:pPr>
      <w:r>
        <w:t xml:space="preserve">Merchants stake 1000 sats (~$1 USD) to join BOLO proximity network</w:t>
      </w:r>
    </w:p>
    <w:p>
      <w:pPr>
        <w:pStyle w:val="ListParagraph"/>
        <w:numPr>
          <w:ilvl w:val="0"/>
          <w:numId w:val="2"/>
        </w:numPr>
      </w:pPr>
      <w:r>
        <w:t xml:space="preserve">False BOLO reports result in stake slashing (skin in the game)</w:t>
      </w:r>
    </w:p>
    <w:p>
      <w:pPr>
        <w:pStyle w:val="ListParagraph"/>
        <w:numPr>
          <w:ilvl w:val="0"/>
          <w:numId w:val="2"/>
        </w:numPr>
      </w:pPr>
      <w:r>
        <w:t xml:space="preserve">Good behavior accumulates reputation (economic incentive alignment)</w:t>
      </w:r>
    </w:p>
    <w:p>
      <w:pPr>
        <w:spacing w:before="120" w:after="240"/>
      </w:pPr>
      <w:r>
        <w:t xml:space="preserve">Merchants use their own earned satoshis &amp;#x2014; not monthly subscription fees, not credit card processing charges &amp;#x2014; to secure their business. This is merchant empowerment via self-sovereign infrastructure.</w:t>
      </w:r>
    </w:p>
    <w:p>
      <w:pPr>
        <w:pStyle w:val="Heading2"/>
      </w:pPr>
      <w:r>
        <w:t xml:space="preserve">2.3 The Economic Moat: Pay-Per-Use Beats Subscription</w:t>
      </w:r>
    </w:p>
    <w:p>
      <w:pPr>
        <w:spacing w:after="120"/>
      </w:pPr>
      <w:r>
        <w:t xml:space="preserve">Traditional loss prevention platforms charge $50&amp;#x2013;$500/month subscriptions. Canary charges:</w:t>
      </w:r>
    </w:p>
    <w:p>
      <w:pPr>
        <w:pStyle w:val="ListParagraph"/>
        <w:numPr>
          <w:ilvl w:val="0"/>
          <w:numId w:val="2"/>
        </w:numPr>
      </w:pPr>
      <w:r>
        <w:t xml:space="preserve">10 sats (~$0.001) per fraud alert generated</w:t>
      </w:r>
    </w:p>
    <w:p>
      <w:pPr>
        <w:pStyle w:val="ListParagraph"/>
        <w:numPr>
          <w:ilvl w:val="0"/>
          <w:numId w:val="2"/>
        </w:numPr>
      </w:pPr>
      <w:r>
        <w:t xml:space="preserve">5 sats (~$0.0005) per BOLO query</w:t>
      </w:r>
    </w:p>
    <w:p>
      <w:pPr>
        <w:pStyle w:val="ListParagraph"/>
        <w:numPr>
          <w:ilvl w:val="0"/>
          <w:numId w:val="2"/>
        </w:numPr>
      </w:pPr>
      <w:r>
        <w:t xml:space="preserve">1 sat (~$0.0001) per API call (for developer integrations)</w:t>
      </w:r>
    </w:p>
    <w:p>
      <w:pPr>
        <w:spacing w:before="120" w:after="240"/>
      </w:pPr>
      <w:r>
        <w:t xml:space="preserve">A merchant processing 100 transactions/day with 2% fraud rate pays ~20 sats/day (~$600/year), not $1,200&amp;#x2013;$6,000/year for subscription SaaS. This pricing is only possible via micropayments &amp;#x2014; credit cards can&amp;#x2019;t process sub-cent transactions profitably.</w:t>
      </w:r>
    </w:p>
    <w:p>
      <w:pPr>
        <w:pStyle w:val="Heading2"/>
      </w:pPr>
      <w:r>
        <w:t xml:space="preserve">2.4 Merchant-Facing Messaging: &amp;#x201C;Instant Micro Payments&amp;#x201D;</w:t>
      </w:r>
    </w:p>
    <w:p>
      <w:pPr>
        <w:spacing w:after="360"/>
      </w:pPr>
      <w:r>
        <w:t xml:space="preserve">Critical: We do NOT lead with &amp;#x201C;Bitcoin&amp;#x201D; or &amp;#x201C;Lightning Network&amp;#x201D; or &amp;#x201C;satoshis&amp;#x201D; in merchant-facing materials. We use plain English: &amp;#x201C;instant micro payments&amp;#x201D; (fractions of a penny, settled immediately, no chargebacks). The technology is invisible. The benefit is tangible. Reserve technical language for developer documentation only.</w:t>
      </w:r>
    </w:p>
    <w:p>
      <w:pPr>
        <w:pStyle w:val="Heading1"/>
      </w:pPr>
      <w:r>
        <w:t xml:space="preserve">3. Legal Risk Assessment: Regulatory Compliance Strategy</w:t>
      </w:r>
    </w:p>
    <w:p>
      <w:pPr>
        <w:pStyle w:val="Heading2"/>
      </w:pPr>
      <w:r>
        <w:t xml:space="preserve">3.1 Money Transmitter Risk (State-Level)</w:t>
      </w:r>
    </w:p>
    <w:p>
      <w:pPr>
        <w:spacing w:after="120"/>
      </w:pPr>
      <w:r>
        <w:rPr>
          <w:b/>
          <w:bCs/>
        </w:rPr>
        <w:t xml:space="preserve">Question: </w:t>
      </w:r>
      <w:r>
        <w:t xml:space="preserve">Does Canary&amp;#x2019;s Lightning integration trigger money transmitter licensing requirements?</w:t>
      </w:r>
    </w:p>
    <w:p>
      <w:pPr>
        <w:spacing w:after="120"/>
      </w:pPr>
      <w:r>
        <w:rPr>
          <w:b/>
          <w:bCs/>
        </w:rPr>
        <w:t xml:space="preserve">Answer (85% confidence): </w:t>
      </w:r>
      <w:r>
        <w:rPr>
          <w:b/>
          <w:bCs/>
          <w:color w:val="00AA00"/>
        </w:rPr>
        <w:t xml:space="preserve">No</w:t>
      </w:r>
      <w:r>
        <w:t xml:space="preserve">, if structured as non-custodial.</w:t>
      </w:r>
    </w:p>
    <w:p>
      <w:pPr>
        <w:spacing w:after="120"/>
      </w:pPr>
      <w:r>
        <w:rPr>
          <w:b/>
          <w:bCs/>
        </w:rPr>
        <w:t xml:space="preserve">Analysis:</w:t>
      </w:r>
    </w:p>
    <w:p>
      <w:pPr>
        <w:pStyle w:val="ListParagraph"/>
        <w:numPr>
          <w:ilvl w:val="0"/>
          <w:numId w:val="2"/>
        </w:numPr>
      </w:pPr>
      <w:r>
        <w:t xml:space="preserve">Money transmitter = entity that holds customer funds and transmits them on behalf of customers</w:t>
      </w:r>
    </w:p>
    <w:p>
      <w:pPr>
        <w:pStyle w:val="ListParagraph"/>
        <w:numPr>
          <w:ilvl w:val="0"/>
          <w:numId w:val="2"/>
        </w:numPr>
      </w:pPr>
      <w:r>
        <w:t xml:space="preserve">Canary does NOT custody merchant sats (merchants use self-custody wallets)</w:t>
      </w:r>
    </w:p>
    <w:p>
      <w:pPr>
        <w:pStyle w:val="ListParagraph"/>
        <w:numPr>
          <w:ilvl w:val="0"/>
          <w:numId w:val="2"/>
        </w:numPr>
      </w:pPr>
      <w:r>
        <w:t xml:space="preserve">Lightning payments are peer-to-peer (merchant &amp;#x2192; Canary infrastructure &amp;#x2192; service, not Canary-intermediated merchant-to-merchant transfers)</w:t>
      </w:r>
    </w:p>
    <w:p>
      <w:pPr>
        <w:pStyle w:val="ListParagraph"/>
        <w:numPr>
          <w:ilvl w:val="0"/>
          <w:numId w:val="2"/>
        </w:numPr>
      </w:pPr>
      <w:r>
        <w:t xml:space="preserve">Canary provides software, not money transmission services</w:t>
      </w:r>
    </w:p>
    <w:p>
      <w:pPr>
        <w:spacing w:before="120" w:after="120"/>
      </w:pPr>
      <w:r>
        <w:rPr>
          <w:b/>
          <w:bCs/>
        </w:rPr>
        <w:t xml:space="preserve">Mitigation:</w:t>
      </w:r>
    </w:p>
    <w:p>
      <w:pPr>
        <w:pStyle w:val="ListParagraph"/>
        <w:numPr>
          <w:ilvl w:val="0"/>
          <w:numId w:val="2"/>
        </w:numPr>
      </w:pPr>
      <w:r>
        <w:t xml:space="preserve">Legal memo documenting non-custodial architecture (attached as Appendix A)</w:t>
      </w:r>
    </w:p>
    <w:p>
      <w:pPr>
        <w:pStyle w:val="ListParagraph"/>
        <w:numPr>
          <w:ilvl w:val="0"/>
          <w:numId w:val="2"/>
        </w:numPr>
      </w:pPr>
      <w:r>
        <w:t xml:space="preserve">Terms of Service: &amp;#x201C;Canary does not custody funds. Payments are peer-to-peer via Lightning Network.&amp;#x201D;</w:t>
      </w:r>
    </w:p>
    <w:p>
      <w:pPr>
        <w:pStyle w:val="ListParagraph"/>
        <w:numPr>
          <w:ilvl w:val="0"/>
          <w:numId w:val="2"/>
        </w:numPr>
      </w:pPr>
      <w:r>
        <w:rPr>
          <w:b/>
          <w:bCs/>
          <w:color w:val="CC0000"/>
        </w:rPr>
        <w:t xml:space="preserve">NEVER custody merchant sats</w:t>
      </w:r>
      <w:r>
        <w:t xml:space="preserve"> &amp;#x2014; this is the red line that triggers licensing</w:t>
      </w:r>
    </w:p>
    <w:p>
      <w:pPr>
        <w:spacing w:before="120" w:after="240"/>
      </w:pPr>
      <w:r>
        <w:rPr>
          <w:b/>
          <w:bCs/>
        </w:rPr>
        <w:t xml:space="preserve">Risk Level: </w:t>
      </w:r>
      <w:r>
        <w:rPr>
          <w:b/>
          <w:bCs/>
          <w:color w:val="00AA00"/>
        </w:rPr>
        <w:t xml:space="preserve">LOW</w:t>
      </w:r>
      <w:r>
        <w:t xml:space="preserve"> (if non-custodial architecture maintained)</w:t>
      </w:r>
    </w:p>
    <w:p>
      <w:pPr>
        <w:pStyle w:val="Heading2"/>
      </w:pPr>
      <w:r>
        <w:t xml:space="preserve">3.2 FinCEN / Federal Compliance</w:t>
      </w:r>
    </w:p>
    <w:p>
      <w:pPr>
        <w:spacing w:after="120"/>
      </w:pPr>
      <w:r>
        <w:rPr>
          <w:b/>
          <w:bCs/>
        </w:rPr>
        <w:t xml:space="preserve">Question: </w:t>
      </w:r>
      <w:r>
        <w:t xml:space="preserve">Is Canary a Money Services Business (MSB) under federal law?</w:t>
      </w:r>
    </w:p>
    <w:p>
      <w:pPr>
        <w:spacing w:after="120"/>
      </w:pPr>
      <w:r>
        <w:rPr>
          <w:b/>
          <w:bCs/>
        </w:rPr>
        <w:t xml:space="preserve">Answer (90% confidence): </w:t>
      </w:r>
      <w:r>
        <w:rPr>
          <w:b/>
          <w:bCs/>
          <w:color w:val="00AA00"/>
        </w:rPr>
        <w:t xml:space="preserve">No</w:t>
      </w:r>
      <w:r>
        <w:t xml:space="preserve">, if Lightning payments are merchant-initiated via self-custody wallets.</w:t>
      </w:r>
    </w:p>
    <w:p>
      <w:pPr>
        <w:spacing w:after="120"/>
      </w:pPr>
      <w:r>
        <w:rPr>
          <w:b/>
          <w:bCs/>
        </w:rPr>
        <w:t xml:space="preserve">Analysis:</w:t>
      </w:r>
    </w:p>
    <w:p>
      <w:pPr>
        <w:pStyle w:val="ListParagraph"/>
        <w:numPr>
          <w:ilvl w:val="0"/>
          <w:numId w:val="2"/>
        </w:numPr>
      </w:pPr>
      <w:r>
        <w:t xml:space="preserve">FinCEN defines MSB as entity engaged in money transmission &amp;#x201C;as a business&amp;#x201D;</w:t>
      </w:r>
    </w:p>
    <w:p>
      <w:pPr>
        <w:pStyle w:val="ListParagraph"/>
        <w:numPr>
          <w:ilvl w:val="0"/>
          <w:numId w:val="2"/>
        </w:numPr>
      </w:pPr>
      <w:r>
        <w:t xml:space="preserve">Canary sells software (loss prevention tools), not money transmission services</w:t>
      </w:r>
    </w:p>
    <w:p>
      <w:pPr>
        <w:pStyle w:val="ListParagraph"/>
        <w:numPr>
          <w:ilvl w:val="0"/>
          <w:numId w:val="2"/>
        </w:numPr>
      </w:pPr>
      <w:r>
        <w:t xml:space="preserve">Merchants control their own wallets (Canary never touches funds)</w:t>
      </w:r>
    </w:p>
    <w:p>
      <w:pPr>
        <w:pStyle w:val="ListParagraph"/>
        <w:numPr>
          <w:ilvl w:val="0"/>
          <w:numId w:val="2"/>
        </w:numPr>
      </w:pPr>
      <w:r>
        <w:t xml:space="preserve">Payment flow: Merchant wallet &amp;#x2192; Lightning Network &amp;#x2192; Canary API (direct, no intermediation)</w:t>
      </w:r>
    </w:p>
    <w:p>
      <w:pPr>
        <w:spacing w:before="120" w:after="240"/>
      </w:pPr>
      <w:r>
        <w:rPr>
          <w:b/>
          <w:bCs/>
        </w:rPr>
        <w:t xml:space="preserve">Risk Level: </w:t>
      </w:r>
      <w:r>
        <w:rPr>
          <w:b/>
          <w:bCs/>
          <w:color w:val="00AA00"/>
        </w:rPr>
        <w:t xml:space="preserve">LOW</w:t>
      </w:r>
    </w:p>
    <w:p>
      <w:pPr>
        <w:pStyle w:val="Heading2"/>
      </w:pPr>
      <w:r>
        <w:t xml:space="preserve">3.3 State Crypto Regulations</w:t>
      </w:r>
    </w:p>
    <w:p>
      <w:pPr>
        <w:spacing w:after="120"/>
      </w:pPr>
      <w:r>
        <w:t xml:space="preserve">State-by-state regulatory landscape:</w:t>
      </w:r>
    </w:p>
    <w:p>
      <w:pPr>
        <w:pStyle w:val="ListParagraph"/>
        <w:numPr>
          <w:ilvl w:val="0"/>
          <w:numId w:val="2"/>
        </w:numPr>
      </w:pPr>
      <w:r>
        <w:rPr>
          <w:b/>
          <w:bCs/>
        </w:rPr>
        <w:t xml:space="preserve">New York BitLicense: </w:t>
      </w:r>
      <w:r>
        <w:rPr>
          <w:color w:val="CC0000"/>
        </w:rPr>
        <w:t xml:space="preserve">DO NOT OPERATE IN NY INITIALLY</w:t>
      </w:r>
      <w:r>
        <w:t xml:space="preserve"> (compliance cost ~$500k&amp;#x2013;$1M, prohibitive for startup)</w:t>
      </w:r>
    </w:p>
    <w:p>
      <w:pPr>
        <w:pStyle w:val="ListParagraph"/>
        <w:numPr>
          <w:ilvl w:val="0"/>
          <w:numId w:val="2"/>
        </w:numPr>
      </w:pPr>
      <w:r>
        <w:rPr>
          <w:b/>
          <w:bCs/>
        </w:rPr>
        <w:t xml:space="preserve">Texas, Wyoming, Florida: </w:t>
      </w:r>
      <w:r>
        <w:rPr>
          <w:color w:val="00AA00"/>
        </w:rPr>
        <w:t xml:space="preserve">Bitcoin-friendly</w:t>
      </w:r>
      <w:r>
        <w:t xml:space="preserve"> &amp;#x2014; safe to launch</w:t>
      </w:r>
    </w:p>
    <w:p>
      <w:pPr>
        <w:pStyle w:val="ListParagraph"/>
        <w:numPr>
          <w:ilvl w:val="0"/>
          <w:numId w:val="2"/>
        </w:numPr>
      </w:pPr>
      <w:r>
        <w:rPr>
          <w:b/>
          <w:bCs/>
        </w:rPr>
        <w:t xml:space="preserve">California: </w:t>
      </w:r>
      <w:r>
        <w:t xml:space="preserve">Monitor AB 39 (crypto regulatory framework under development)</w:t>
      </w:r>
    </w:p>
    <w:p>
      <w:pPr>
        <w:spacing w:before="120" w:after="120"/>
      </w:pPr>
      <w:r>
        <w:rPr>
          <w:b/>
          <w:bCs/>
        </w:rPr>
        <w:t xml:space="preserve">Strategy:</w:t>
      </w:r>
    </w:p>
    <w:p>
      <w:pPr>
        <w:pStyle w:val="ListParagraph"/>
        <w:numPr>
          <w:ilvl w:val="0"/>
          <w:numId w:val="2"/>
        </w:numPr>
      </w:pPr>
      <w:r>
        <w:t xml:space="preserve">Launch in TX/WY/FL (Square&amp;#x2019;s largest merchant bases)</w:t>
      </w:r>
    </w:p>
    <w:p>
      <w:pPr>
        <w:pStyle w:val="ListParagraph"/>
        <w:numPr>
          <w:ilvl w:val="0"/>
          <w:numId w:val="2"/>
        </w:numPr>
      </w:pPr>
      <w:r>
        <w:t xml:space="preserve">Geo-block NY initially (revisit post-Series A when compliance budget allows)</w:t>
      </w:r>
    </w:p>
    <w:p>
      <w:pPr>
        <w:pStyle w:val="ListParagraph"/>
        <w:numPr>
          <w:ilvl w:val="0"/>
          <w:numId w:val="2"/>
        </w:numPr>
      </w:pPr>
      <w:r>
        <w:t xml:space="preserve">Monitor CA regulatory developments (engage outside counsel if AB 39 passes)</w:t>
      </w:r>
    </w:p>
    <w:p>
      <w:pPr>
        <w:spacing w:before="120" w:after="240"/>
      </w:pPr>
      <w:r>
        <w:rPr>
          <w:b/>
          <w:bCs/>
        </w:rPr>
        <w:t xml:space="preserve">Risk Level: </w:t>
      </w:r>
      <w:r>
        <w:rPr>
          <w:b/>
          <w:bCs/>
          <w:color w:val="FFA500"/>
        </w:rPr>
        <w:t xml:space="preserve">MEDIUM</w:t>
      </w:r>
      <w:r>
        <w:t xml:space="preserve"> (manageable via geo-restriction)</w:t>
      </w:r>
    </w:p>
    <w:p>
      <w:pPr>
        <w:pStyle w:val="Heading2"/>
      </w:pPr>
      <w:r>
        <w:t xml:space="preserve">3.4 Square Platform Terms of Service Compliance</w:t>
      </w:r>
    </w:p>
    <w:p>
      <w:pPr>
        <w:spacing w:after="120"/>
      </w:pPr>
      <w:r>
        <w:rPr>
          <w:b/>
          <w:bCs/>
        </w:rPr>
        <w:t xml:space="preserve">Question: </w:t>
      </w:r>
      <w:r>
        <w:t xml:space="preserve">Does Lightning integration violate Square Developer ToS?</w:t>
      </w:r>
    </w:p>
    <w:p>
      <w:pPr>
        <w:spacing w:after="120"/>
      </w:pPr>
      <w:r>
        <w:rPr>
          <w:b/>
          <w:bCs/>
        </w:rPr>
        <w:t xml:space="preserve">Answer: </w:t>
      </w:r>
      <w:r>
        <w:rPr>
          <w:color w:val="00AA00"/>
        </w:rPr>
        <w:t xml:space="preserve">Unlikely</w:t>
      </w:r>
      <w:r>
        <w:t xml:space="preserve"> &amp;#x2014; Canary is not competing with Square&amp;#x2019;s payment processing, just adding anti-spam layer.</w:t>
      </w:r>
    </w:p>
    <w:p>
      <w:pPr>
        <w:spacing w:after="120"/>
      </w:pPr>
      <w:r>
        <w:rPr>
          <w:b/>
          <w:bCs/>
        </w:rPr>
        <w:t xml:space="preserve">Action Required:</w:t>
      </w:r>
    </w:p>
    <w:p>
      <w:pPr>
        <w:pStyle w:val="ListParagraph"/>
        <w:numPr>
          <w:ilvl w:val="0"/>
          <w:numId w:val="2"/>
        </w:numPr>
      </w:pPr>
      <w:r>
        <w:t xml:space="preserve">Legal review of Square Developer ToS before Lightning launch</w:t>
      </w:r>
    </w:p>
    <w:p>
      <w:pPr>
        <w:pStyle w:val="ListParagraph"/>
        <w:numPr>
          <w:ilvl w:val="0"/>
          <w:numId w:val="2"/>
        </w:numPr>
      </w:pPr>
      <w:r>
        <w:t xml:space="preserve">Engage Square partnership team proactively (position as value-add, not competitor)</w:t>
      </w:r>
    </w:p>
    <w:p>
      <w:pPr>
        <w:pStyle w:val="ListParagraph"/>
        <w:numPr>
          <w:ilvl w:val="0"/>
          <w:numId w:val="2"/>
        </w:numPr>
      </w:pPr>
      <w:r>
        <w:t xml:space="preserve">Document that Lightning is used for Canary API access, not merchant payment processing</w:t>
      </w:r>
    </w:p>
    <w:p>
      <w:pPr>
        <w:spacing w:before="120" w:after="240"/>
      </w:pPr>
      <w:r>
        <w:rPr>
          <w:b/>
          <w:bCs/>
        </w:rPr>
        <w:t xml:space="preserve">Risk Level: </w:t>
      </w:r>
      <w:r>
        <w:rPr>
          <w:b/>
          <w:bCs/>
          <w:color w:val="00AA00"/>
        </w:rPr>
        <w:t xml:space="preserve">LOW</w:t>
      </w:r>
      <w:r>
        <w:t xml:space="preserve"> (alignment, not competition)</w:t>
      </w:r>
    </w:p>
    <w:p>
      <w:pPr>
        <w:pStyle w:val="Heading2"/>
      </w:pPr>
      <w:r>
        <w:t xml:space="preserve">3.5 App Store Compliance (iOS/Android)</w:t>
      </w:r>
    </w:p>
    <w:p>
      <w:pPr>
        <w:spacing w:after="120"/>
      </w:pPr>
      <w:r>
        <w:t xml:space="preserve">Apple App Store has approved Lightning integrations (precedent: SaruTobi game, 2025). Key compliance requirements:</w:t>
      </w:r>
    </w:p>
    <w:p>
      <w:pPr>
        <w:pStyle w:val="ListParagraph"/>
        <w:numPr>
          <w:ilvl w:val="0"/>
          <w:numId w:val="2"/>
        </w:numPr>
      </w:pPr>
      <w:r>
        <w:t xml:space="preserve">Route payments through approved providers (ZBD, Alby, LNbits)</w:t>
      </w:r>
    </w:p>
    <w:p>
      <w:pPr>
        <w:pStyle w:val="ListParagraph"/>
        <w:numPr>
          <w:ilvl w:val="0"/>
          <w:numId w:val="2"/>
        </w:numPr>
      </w:pPr>
      <w:r>
        <w:t xml:space="preserve">Do NOT sell crypto via Apple IAP (keep transactions off-platform)</w:t>
      </w:r>
    </w:p>
    <w:p>
      <w:pPr>
        <w:pStyle w:val="ListParagraph"/>
        <w:numPr>
          <w:ilvl w:val="0"/>
          <w:numId w:val="2"/>
        </w:numPr>
      </w:pPr>
      <w:r>
        <w:t xml:space="preserve">Comply with App Store Guidelines §3.1.5 (external payment providers)</w:t>
      </w:r>
    </w:p>
    <w:p>
      <w:pPr>
        <w:spacing w:before="120" w:after="120"/>
      </w:pPr>
      <w:r>
        <w:rPr>
          <w:b/>
          <w:bCs/>
        </w:rPr>
        <w:t xml:space="preserve">Mitigation:</w:t>
      </w:r>
    </w:p>
    <w:p>
      <w:pPr>
        <w:pStyle w:val="ListParagraph"/>
        <w:numPr>
          <w:ilvl w:val="0"/>
          <w:numId w:val="2"/>
        </w:numPr>
      </w:pPr>
      <w:r>
        <w:t xml:space="preserve">Test with App Review early (submit beta for review before public launch)</w:t>
      </w:r>
    </w:p>
    <w:p>
      <w:pPr>
        <w:pStyle w:val="ListParagraph"/>
        <w:numPr>
          <w:ilvl w:val="0"/>
          <w:numId w:val="2"/>
        </w:numPr>
      </w:pPr>
      <w:r>
        <w:t xml:space="preserve">Use hosted Lightning services (ZBD/Alby) to avoid node operations complexity</w:t>
      </w:r>
    </w:p>
    <w:p>
      <w:pPr>
        <w:pStyle w:val="ListParagraph"/>
        <w:numPr>
          <w:ilvl w:val="0"/>
          <w:numId w:val="2"/>
        </w:numPr>
      </w:pPr>
      <w:r>
        <w:t xml:space="preserve">Google Play is more permissive for crypto (lower risk)</w:t>
      </w:r>
    </w:p>
    <w:p>
      <w:pPr>
        <w:spacing w:before="120" w:after="360"/>
      </w:pPr>
      <w:r>
        <w:rPr>
          <w:b/>
          <w:bCs/>
        </w:rPr>
        <w:t xml:space="preserve">Risk Level: </w:t>
      </w:r>
      <w:r>
        <w:rPr>
          <w:b/>
          <w:bCs/>
          <w:color w:val="00AA00"/>
        </w:rPr>
        <w:t xml:space="preserve">LOW</w:t>
      </w:r>
      <w:r>
        <w:t xml:space="preserve"> (precedent exists, compliance path clear)</w:t>
      </w:r>
    </w:p>
    <w:p>
      <w:pPr>
        <w:pStyle w:val="Heading1"/>
      </w:pPr>
      <w:r>
        <w:t xml:space="preserve">4. Intellectual Property Protection Strategy</w:t>
      </w:r>
    </w:p>
    <w:p>
      <w:pPr>
        <w:pStyle w:val="Heading2"/>
      </w:pPr>
      <w:r>
        <w:t xml:space="preserve">4.1 Trade Secret Protection</w:t>
      </w:r>
    </w:p>
    <w:p>
      <w:pPr>
        <w:spacing w:after="120"/>
      </w:pPr>
      <w:r>
        <w:t xml:space="preserve">The following components qualify for trade secret protection (must remain confidential):</w:t>
      </w:r>
    </w:p>
    <w:p>
      <w:pPr>
        <w:pStyle w:val="ListParagraph"/>
        <w:numPr>
          <w:ilvl w:val="0"/>
          <w:numId w:val="2"/>
        </w:numPr>
      </w:pPr>
      <w:r>
        <w:t xml:space="preserve">L402 middleware implementation (specific code patterns, optimization techniques)</w:t>
      </w:r>
    </w:p>
    <w:p>
      <w:pPr>
        <w:pStyle w:val="ListParagraph"/>
        <w:numPr>
          <w:ilvl w:val="0"/>
          <w:numId w:val="2"/>
        </w:numPr>
      </w:pPr>
      <w:r>
        <w:t xml:space="preserve">Merchant staking algorithm (reputation scoring, stake slashing thresholds)</w:t>
      </w:r>
    </w:p>
    <w:p>
      <w:pPr>
        <w:pStyle w:val="ListParagraph"/>
        <w:numPr>
          <w:ilvl w:val="0"/>
          <w:numId w:val="2"/>
        </w:numPr>
      </w:pPr>
      <w:r>
        <w:t xml:space="preserve">BOLO network economics formulas (proximity matching, alert weighting)</w:t>
      </w:r>
    </w:p>
    <w:p>
      <w:pPr>
        <w:pStyle w:val="ListParagraph"/>
        <w:numPr>
          <w:ilvl w:val="0"/>
          <w:numId w:val="2"/>
        </w:numPr>
      </w:pPr>
      <w:r>
        <w:t xml:space="preserve">ALTO partner revenue-sharing models</w:t>
      </w:r>
    </w:p>
    <w:p>
      <w:pPr>
        <w:spacing w:before="120" w:after="240"/>
      </w:pPr>
      <w:r>
        <w:rPr>
          <w:b/>
          <w:bCs/>
        </w:rPr>
        <w:t xml:space="preserve">Action: </w:t>
      </w:r>
      <w:r>
        <w:t xml:space="preserve">Confidential Information and Invention Assignment (CIIA) agreements for all employees/contractors. NDA templates for ALTO partners. No public disclosure of proprietary algorithms.</w:t>
      </w:r>
    </w:p>
    <w:p>
      <w:pPr>
        <w:pStyle w:val="Heading2"/>
      </w:pPr>
      <w:r>
        <w:t xml:space="preserve">4.2 Copyright Protection</w:t>
      </w:r>
    </w:p>
    <w:p>
      <w:pPr>
        <w:spacing w:after="240"/>
      </w:pPr>
      <w:r>
        <w:t xml:space="preserve">All code is automatically copyrighted upon creation. Register copyright for major releases (low cost, ~$65/filing, provides statutory damages in infringement cases). Priority: L402 middleware, LNURL-auth integration, Fox module case management system.</w:t>
      </w:r>
    </w:p>
    <w:p>
      <w:pPr>
        <w:pStyle w:val="Heading2"/>
      </w:pPr>
      <w:r>
        <w:t xml:space="preserve">4.3 Trademark Strategy</w:t>
      </w:r>
    </w:p>
    <w:p>
      <w:pPr>
        <w:spacing w:after="120"/>
      </w:pPr>
      <w:r>
        <w:t xml:space="preserve">Current filings in progress:</w:t>
      </w:r>
    </w:p>
    <w:p>
      <w:pPr>
        <w:pStyle w:val="ListParagraph"/>
        <w:numPr>
          <w:ilvl w:val="0"/>
          <w:numId w:val="2"/>
        </w:numPr>
      </w:pPr>
      <w:r>
        <w:t xml:space="preserve">Canary LP (Classes 9, 42) &amp;#x2014; core product</w:t>
      </w:r>
    </w:p>
    <w:p>
      <w:pPr>
        <w:pStyle w:val="ListParagraph"/>
        <w:numPr>
          <w:ilvl w:val="0"/>
          <w:numId w:val="2"/>
        </w:numPr>
      </w:pPr>
      <w:r>
        <w:t xml:space="preserve">GrowDirect (Classes 9, 35, 42) &amp;#x2014; parent entity</w:t>
      </w:r>
    </w:p>
    <w:p>
      <w:pPr>
        <w:spacing w:before="120" w:after="120"/>
      </w:pPr>
      <w:r>
        <w:rPr>
          <w:b/>
          <w:bCs/>
        </w:rPr>
        <w:t xml:space="preserve">New filing recommended:</w:t>
      </w:r>
    </w:p>
    <w:p>
      <w:pPr>
        <w:pStyle w:val="ListParagraph"/>
        <w:numPr>
          <w:ilvl w:val="0"/>
          <w:numId w:val="2"/>
        </w:numPr>
      </w:pPr>
      <w:r>
        <w:rPr>
          <w:b/>
          <w:bCs/>
        </w:rPr>
        <w:t xml:space="preserve">&amp;#x201C;The Dome&amp;#x201D;</w:t>
      </w:r>
      <w:r>
        <w:t xml:space="preserve"> (Classes 9, 42) &amp;#x2014; security layer brand</w:t>
      </w:r>
    </w:p>
    <w:p>
      <w:pPr>
        <w:spacing w:before="120" w:after="120"/>
      </w:pPr>
      <w:r>
        <w:rPr>
          <w:b/>
          <w:bCs/>
        </w:rPr>
        <w:t xml:space="preserve">Rationale: </w:t>
      </w:r>
      <w:r>
        <w:t xml:space="preserve">If we publicly market the Softwar-inspired &amp;#x201C;Dome&amp;#x201D; security concept, we need trademark protection. Evaluate after investor feedback &amp;#x2014; if the Dome becomes part of our pitch deck, file immediately.</w:t>
      </w:r>
    </w:p>
    <w:p>
      <w:pPr>
        <w:spacing w:after="240"/>
      </w:pPr>
      <w:r>
        <w:rPr>
          <w:b/>
          <w:bCs/>
        </w:rPr>
        <w:t xml:space="preserve">Action: </w:t>
      </w:r>
      <w:r>
        <w:t xml:space="preserve">Trademark search for &amp;#x201C;The Dome&amp;#x201D; in Classes 9/42. If clear, file intent-to-use application. Cost: ~$350/class.</w:t>
      </w:r>
    </w:p>
    <w:p>
      <w:pPr>
        <w:pStyle w:val="Heading2"/>
      </w:pPr>
      <w:r>
        <w:t xml:space="preserve">4.4 Patent Analysis</w:t>
      </w:r>
    </w:p>
    <w:p>
      <w:pPr>
        <w:spacing w:after="120"/>
      </w:pPr>
      <w:r>
        <w:rPr>
          <w:b/>
          <w:bCs/>
        </w:rPr>
        <w:t xml:space="preserve">Question: </w:t>
      </w:r>
      <w:r>
        <w:t xml:space="preserve">Should we patent &amp;#x201C;System and Method for Micropayment-Gated Fraud Detection Network&amp;#x201D;?</w:t>
      </w:r>
    </w:p>
    <w:p>
      <w:pPr>
        <w:spacing w:after="120"/>
      </w:pPr>
      <w:r>
        <w:rPr>
          <w:b/>
          <w:bCs/>
        </w:rPr>
        <w:t xml:space="preserve">Answer: </w:t>
      </w:r>
      <w:r>
        <w:rPr>
          <w:color w:val="FFA500"/>
        </w:rPr>
        <w:t xml:space="preserve">Likely not worth the cost</w:t>
      </w:r>
      <w:r>
        <w:t xml:space="preserve"> (at this stage).</w:t>
      </w:r>
    </w:p>
    <w:p>
      <w:pPr>
        <w:spacing w:after="120"/>
      </w:pPr>
      <w:r>
        <w:rPr>
          <w:b/>
          <w:bCs/>
        </w:rPr>
        <w:t xml:space="preserve">Analysis:</w:t>
      </w:r>
    </w:p>
    <w:p>
      <w:pPr>
        <w:pStyle w:val="ListParagraph"/>
        <w:numPr>
          <w:ilvl w:val="0"/>
          <w:numId w:val="2"/>
        </w:numPr>
      </w:pPr>
      <w:r>
        <w:t xml:space="preserve">Prior art search required (~$5k)</w:t>
      </w:r>
    </w:p>
    <w:p>
      <w:pPr>
        <w:pStyle w:val="ListParagraph"/>
        <w:numPr>
          <w:ilvl w:val="0"/>
          <w:numId w:val="2"/>
        </w:numPr>
      </w:pPr>
      <w:r>
        <w:t xml:space="preserve">Provisional patent filing (~$3k attorney fees + $300 USPTO fee)</w:t>
      </w:r>
    </w:p>
    <w:p>
      <w:pPr>
        <w:pStyle w:val="ListParagraph"/>
        <w:numPr>
          <w:ilvl w:val="0"/>
          <w:numId w:val="2"/>
        </w:numPr>
      </w:pPr>
      <w:r>
        <w:t xml:space="preserve">Full utility patent prosecution (~$15k&amp;#x2013;$25k over 2&amp;#x2013;3 years)</w:t>
      </w:r>
    </w:p>
    <w:p>
      <w:pPr>
        <w:pStyle w:val="ListParagraph"/>
        <w:numPr>
          <w:ilvl w:val="0"/>
          <w:numId w:val="2"/>
        </w:numPr>
      </w:pPr>
      <w:r>
        <w:t xml:space="preserve">Patent disclosure makes technology public (conflicts with trade secret strategy)</w:t>
      </w:r>
    </w:p>
    <w:p>
      <w:pPr>
        <w:spacing w:before="120" w:after="120"/>
      </w:pPr>
      <w:r>
        <w:rPr>
          <w:b/>
          <w:bCs/>
        </w:rPr>
        <w:t xml:space="preserve">Recommendation: </w:t>
      </w:r>
      <w:r>
        <w:t xml:space="preserve">Delay patent filing until Series A. Maintain trade secret protection now. Revisit if competitor enters space with similar micropayment architecture (defensive patent becomes strategic).</w:t>
      </w:r>
    </w:p>
    <w:p>
      <w:pPr>
        <w:spacing w:after="360"/>
      </w:pPr>
      <w:r>
        <w:rPr>
          <w:b/>
          <w:bCs/>
        </w:rPr>
        <w:t xml:space="preserve">Action: </w:t>
      </w:r>
      <w:r>
        <w:t xml:space="preserve">None immediately. Monitor patent landscape quarterly.</w:t>
      </w:r>
    </w:p>
    <w:p>
      <w:pPr>
        <w:pStyle w:val="Heading1"/>
      </w:pPr>
      <w:r>
        <w:t xml:space="preserve">5. Market Positioning &amp; Messaging: Anti-Bank, Pro-Merchant</w:t>
      </w:r>
    </w:p>
    <w:p>
      <w:pPr>
        <w:pStyle w:val="Heading2"/>
      </w:pPr>
      <w:r>
        <w:t xml:space="preserve">5.1 Core Narrative: &amp;#x201C;We&amp;#x2019;re Coming for the Banks&amp;#x201D;</w:t>
      </w:r>
    </w:p>
    <w:p>
      <w:pPr>
        <w:spacing w:after="120"/>
      </w:pPr>
      <w:r>
        <w:t xml:space="preserve">The payment processor cartel extracts $100+ billion annually from merchants while providing inadequate fraud protection and shifting liability via chargebacks. Canary eliminates this rent-seeking:</w:t>
      </w:r>
    </w:p>
    <w:p>
      <w:pPr>
        <w:pStyle w:val="ListParagraph"/>
        <w:numPr>
          <w:ilvl w:val="0"/>
          <w:numId w:val="2"/>
        </w:numPr>
      </w:pPr>
      <w:r>
        <w:rPr>
          <w:b/>
          <w:bCs/>
        </w:rPr>
        <w:t xml:space="preserve">3% transaction fees</w:t>
      </w:r>
      <w:r>
        <w:t xml:space="preserve"> &amp;#x2192; </w:t>
      </w:r>
      <w:r>
        <w:rPr>
          <w:b/>
          <w:bCs/>
          <w:color w:val="00AA00"/>
        </w:rPr>
        <w:t xml:space="preserve">0.1% micropayment fees</w:t>
      </w:r>
    </w:p>
    <w:p>
      <w:pPr>
        <w:pStyle w:val="ListParagraph"/>
        <w:numPr>
          <w:ilvl w:val="0"/>
          <w:numId w:val="2"/>
        </w:numPr>
      </w:pPr>
      <w:r>
        <w:rPr>
          <w:b/>
          <w:bCs/>
        </w:rPr>
        <w:t xml:space="preserve">2&amp;#x2013;3 day settlement</w:t>
      </w:r>
      <w:r>
        <w:t xml:space="preserve"> &amp;#x2192; </w:t>
      </w:r>
      <w:r>
        <w:rPr>
          <w:b/>
          <w:bCs/>
          <w:color w:val="00AA00"/>
        </w:rPr>
        <w:t xml:space="preserve">Instant settlement</w:t>
      </w:r>
    </w:p>
    <w:p>
      <w:pPr>
        <w:pStyle w:val="ListParagraph"/>
        <w:numPr>
          <w:ilvl w:val="0"/>
          <w:numId w:val="2"/>
        </w:numPr>
      </w:pPr>
      <w:r>
        <w:rPr>
          <w:b/>
          <w:bCs/>
        </w:rPr>
        <w:t xml:space="preserve">Chargeback fraud liability</w:t>
      </w:r>
      <w:r>
        <w:t xml:space="preserve"> &amp;#x2192; </w:t>
      </w:r>
      <w:r>
        <w:rPr>
          <w:b/>
          <w:bCs/>
          <w:color w:val="00AA00"/>
        </w:rPr>
        <w:t xml:space="preserve">Zero chargeback risk</w:t>
      </w:r>
    </w:p>
    <w:p>
      <w:pPr>
        <w:pStyle w:val="ListParagraph"/>
        <w:numPr>
          <w:ilvl w:val="0"/>
          <w:numId w:val="2"/>
        </w:numPr>
      </w:pPr>
      <w:r>
        <w:rPr>
          <w:b/>
          <w:bCs/>
        </w:rPr>
        <w:t xml:space="preserve">Bank-controlled fraud detection</w:t>
      </w:r>
      <w:r>
        <w:t xml:space="preserve"> &amp;#x2192; </w:t>
      </w:r>
      <w:r>
        <w:rPr>
          <w:b/>
          <w:bCs/>
          <w:color w:val="00AA00"/>
        </w:rPr>
        <w:t xml:space="preserve">Merchant-owned security</w:t>
      </w:r>
    </w:p>
    <w:p>
      <w:pPr>
        <w:spacing w:before="120" w:after="240"/>
      </w:pPr>
      <w:r>
        <w:t xml:space="preserve">This is not a loss prevention pitch. This is a </w:t>
      </w:r>
      <w:r>
        <w:rPr>
          <w:b/>
          <w:bCs/>
        </w:rPr>
        <w:t xml:space="preserve">merchant liberation pitch</w:t>
      </w:r>
      <w:r>
        <w:t xml:space="preserve">.</w:t>
      </w:r>
    </w:p>
    <w:p>
      <w:pPr>
        <w:pStyle w:val="Heading2"/>
      </w:pPr>
      <w:r>
        <w:t xml:space="preserve">5.2 Merchant-Facing Messaging (Plain English)</w:t>
      </w:r>
    </w:p>
    <w:p>
      <w:pPr>
        <w:spacing w:after="120"/>
      </w:pPr>
      <w:r>
        <w:rPr>
          <w:b/>
          <w:bCs/>
          <w:color w:val="CC0000"/>
        </w:rPr>
        <w:t xml:space="preserve">NEVER USE:</w:t>
      </w:r>
    </w:p>
    <w:p>
      <w:pPr>
        <w:pStyle w:val="ListParagraph"/>
        <w:numPr>
          <w:ilvl w:val="0"/>
          <w:numId w:val="2"/>
        </w:numPr>
      </w:pPr>
      <w:r>
        <w:t xml:space="preserve">&amp;#x201C;Bitcoin&amp;#x201D; or &amp;#x201C;cryptocurrency&amp;#x201D; (triggers skepticism)</w:t>
      </w:r>
    </w:p>
    <w:p>
      <w:pPr>
        <w:pStyle w:val="ListParagraph"/>
        <w:numPr>
          <w:ilvl w:val="0"/>
          <w:numId w:val="2"/>
        </w:numPr>
      </w:pPr>
      <w:r>
        <w:t xml:space="preserve">&amp;#x201C;Lightning Network&amp;#x201D; (too technical)</w:t>
      </w:r>
    </w:p>
    <w:p>
      <w:pPr>
        <w:pStyle w:val="ListParagraph"/>
        <w:numPr>
          <w:ilvl w:val="0"/>
          <w:numId w:val="2"/>
        </w:numPr>
      </w:pPr>
      <w:r>
        <w:t xml:space="preserve">&amp;#x201C;Satoshis&amp;#x201D; or &amp;#x201C;sats&amp;#x201D; (confusing)</w:t>
      </w:r>
    </w:p>
    <w:p>
      <w:pPr>
        <w:pStyle w:val="ListParagraph"/>
        <w:numPr>
          <w:ilvl w:val="0"/>
          <w:numId w:val="2"/>
        </w:numPr>
      </w:pPr>
      <w:r>
        <w:t xml:space="preserve">&amp;#x201C;Blockchain&amp;#x201D; (buzzword fatigue)</w:t>
      </w:r>
    </w:p>
    <w:p>
      <w:pPr>
        <w:pStyle w:val="ListParagraph"/>
        <w:numPr>
          <w:ilvl w:val="0"/>
          <w:numId w:val="2"/>
        </w:numPr>
      </w:pPr>
      <w:r>
        <w:t xml:space="preserve">&amp;#x201C;Self-custody&amp;#x201D; (jargon)</w:t>
      </w:r>
    </w:p>
    <w:p>
      <w:pPr>
        <w:spacing w:before="120" w:after="120"/>
      </w:pPr>
      <w:r>
        <w:rPr>
          <w:b/>
          <w:bCs/>
          <w:color w:val="00AA00"/>
        </w:rPr>
        <w:t xml:space="preserve">ALWAYS USE:</w:t>
      </w:r>
    </w:p>
    <w:p>
      <w:pPr>
        <w:pStyle w:val="ListParagraph"/>
        <w:numPr>
          <w:ilvl w:val="0"/>
          <w:numId w:val="2"/>
        </w:numPr>
      </w:pPr>
      <w:r>
        <w:t xml:space="preserve">&amp;#x201C;Instant micro payments&amp;#x201D; (fractions of a penny, settled immediately)</w:t>
      </w:r>
    </w:p>
    <w:p>
      <w:pPr>
        <w:pStyle w:val="ListParagraph"/>
        <w:numPr>
          <w:ilvl w:val="0"/>
          <w:numId w:val="2"/>
        </w:numPr>
      </w:pPr>
      <w:r>
        <w:t xml:space="preserve">&amp;#x201C;Pay only for what you use&amp;#x201D; (no subscriptions)</w:t>
      </w:r>
    </w:p>
    <w:p>
      <w:pPr>
        <w:pStyle w:val="ListParagraph"/>
        <w:numPr>
          <w:ilvl w:val="0"/>
          <w:numId w:val="2"/>
        </w:numPr>
      </w:pPr>
      <w:r>
        <w:t xml:space="preserve">&amp;#x201C;No chargebacks, ever&amp;#x201D; (payments are final)</w:t>
      </w:r>
    </w:p>
    <w:p>
      <w:pPr>
        <w:pStyle w:val="ListParagraph"/>
        <w:numPr>
          <w:ilvl w:val="0"/>
          <w:numId w:val="2"/>
        </w:numPr>
      </w:pPr>
      <w:r>
        <w:t xml:space="preserve">&amp;#x201C;Your wallet, your money&amp;#x201D; (merchant-controlled)</w:t>
      </w:r>
    </w:p>
    <w:p>
      <w:pPr>
        <w:pStyle w:val="ListParagraph"/>
        <w:numPr>
          <w:ilvl w:val="0"/>
          <w:numId w:val="2"/>
        </w:numPr>
      </w:pPr>
      <w:r>
        <w:t xml:space="preserve">&amp;#x201C;Free yourself from the 3% tax&amp;#x201D; (anti-bank framing)</w:t>
      </w:r>
    </w:p>
    <w:p>
      <w:pPr>
        <w:spacing w:before="120" w:after="240"/>
      </w:pPr>
      <w:r>
        <w:rPr>
          <w:b/>
          <w:bCs/>
        </w:rPr>
        <w:t xml:space="preserve">Example merchant pitch:</w:t>
      </w:r>
      <w:r>
        <w:t xml:space="preserve"> &amp;#x201C;Canary uses instant micro payments &amp;#x2014; fractions of a penny per transaction &amp;#x2014; so you only pay for fraud protection when you need it. No monthly fees. No chargebacks. No 3% tax to the banks. Your money, your control.&amp;#x201D;</w:t>
      </w:r>
    </w:p>
    <w:p>
      <w:pPr>
        <w:pStyle w:val="Heading2"/>
      </w:pPr>
      <w:r>
        <w:t xml:space="preserve">5.3 Investor-Facing Messaging (Strategic Positioning)</w:t>
      </w:r>
    </w:p>
    <w:p>
      <w:pPr>
        <w:spacing w:after="120"/>
      </w:pPr>
      <w:r>
        <w:t xml:space="preserve">To investors, emphasize the disruption narrative:</w:t>
      </w:r>
    </w:p>
    <w:p>
      <w:pPr>
        <w:pStyle w:val="ListParagraph"/>
        <w:numPr>
          <w:ilvl w:val="0"/>
          <w:numId w:val="2"/>
        </w:numPr>
      </w:pPr>
      <w:r>
        <w:rPr>
          <w:b/>
          <w:bCs/>
        </w:rPr>
        <w:t xml:space="preserve">Market Opportunity: </w:t>
      </w:r>
      <w:r>
        <w:t xml:space="preserve">$100B+ annual merchant payment processing fees (TAM)</w:t>
      </w:r>
    </w:p>
    <w:p>
      <w:pPr>
        <w:pStyle w:val="ListParagraph"/>
        <w:numPr>
          <w:ilvl w:val="0"/>
          <w:numId w:val="2"/>
        </w:numPr>
      </w:pPr>
      <w:r>
        <w:rPr>
          <w:b/>
          <w:bCs/>
        </w:rPr>
        <w:t xml:space="preserve">Competitive Moat: </w:t>
      </w:r>
      <w:r>
        <w:t xml:space="preserve">Micropayment economics inaccessible to credit card networks (can&amp;#x2019;t process sub-cent transactions profitably)</w:t>
      </w:r>
    </w:p>
    <w:p>
      <w:pPr>
        <w:pStyle w:val="ListParagraph"/>
        <w:numPr>
          <w:ilvl w:val="0"/>
          <w:numId w:val="2"/>
        </w:numPr>
      </w:pPr>
      <w:r>
        <w:rPr>
          <w:b/>
          <w:bCs/>
        </w:rPr>
        <w:t xml:space="preserve">Network Effects: </w:t>
      </w:r>
      <w:r>
        <w:t xml:space="preserve">BOLO proximity network scales value (more merchants = better fraud detection)</w:t>
      </w:r>
    </w:p>
    <w:p>
      <w:pPr>
        <w:pStyle w:val="ListParagraph"/>
        <w:numPr>
          <w:ilvl w:val="0"/>
          <w:numId w:val="2"/>
        </w:numPr>
      </w:pPr>
      <w:r>
        <w:rPr>
          <w:b/>
          <w:bCs/>
        </w:rPr>
        <w:t xml:space="preserve">Bitcoin Alignment: </w:t>
      </w:r>
      <w:r>
        <w:t xml:space="preserve">Block Inc. (Square) is Bitcoin-native ($241B payment volume, 4M+ merchants, 8,584 BTC on balance sheet)</w:t>
      </w:r>
    </w:p>
    <w:p>
      <w:pPr>
        <w:pStyle w:val="ListParagraph"/>
        <w:numPr>
          <w:ilvl w:val="0"/>
          <w:numId w:val="2"/>
        </w:numPr>
      </w:pPr>
      <w:r>
        <w:rPr>
          <w:b/>
          <w:bCs/>
        </w:rPr>
        <w:t xml:space="preserve">Regulatory Clarity: </w:t>
      </w:r>
      <w:r>
        <w:t xml:space="preserve">Non-custodial architecture avoids money transmitter licensing (legal moat)</w:t>
      </w:r>
    </w:p>
    <w:p>
      <w:pPr>
        <w:spacing w:before="120" w:after="240"/>
      </w:pPr>
      <w:r>
        <w:rPr>
          <w:b/>
          <w:bCs/>
        </w:rPr>
        <w:t xml:space="preserve">Framing:</w:t>
      </w:r>
      <w:r>
        <w:t xml:space="preserve"> &amp;#x201C;Canary isn&amp;#x2019;t competing with loss prevention SaaS. We&amp;#x2019;re disrupting the payment processor cartel by eliminating the 3% tax merchants pay for inadequate fraud protection. Lightning micropayments are the wedge. Merchant empowerment is the mission.&amp;#x201D;</w:t>
      </w:r>
    </w:p>
    <w:p>
      <w:pPr>
        <w:pStyle w:val="Heading2"/>
      </w:pPr>
      <w:r>
        <w:t xml:space="preserve">5.4 Legal Guardrails for Public Statements</w:t>
      </w:r>
    </w:p>
    <w:p>
      <w:pPr>
        <w:spacing w:after="120"/>
      </w:pPr>
      <w:r>
        <w:rPr>
          <w:b/>
          <w:bCs/>
          <w:color w:val="CC0000"/>
        </w:rPr>
        <w:t xml:space="preserve">CRITICAL: </w:t>
      </w:r>
      <w:r>
        <w:t xml:space="preserve">We can criticize the payment processing industry generally, but we CANNOT make defamatory statements about specific companies (Visa, Mastercard, AmEx, etc.) without factual support.</w:t>
      </w:r>
    </w:p>
    <w:p>
      <w:pPr>
        <w:spacing w:after="120"/>
      </w:pPr>
      <w:r>
        <w:rPr>
          <w:b/>
          <w:bCs/>
          <w:color w:val="00AA00"/>
        </w:rPr>
        <w:t xml:space="preserve">SAFE TO SAY:</w:t>
      </w:r>
    </w:p>
    <w:p>
      <w:pPr>
        <w:pStyle w:val="ListParagraph"/>
        <w:numPr>
          <w:ilvl w:val="0"/>
          <w:numId w:val="2"/>
        </w:numPr>
      </w:pPr>
      <w:r>
        <w:t xml:space="preserve">&amp;#x201C;Merchants pay up to 3% in transaction fees&amp;#x201D; (factual, industry standard)</w:t>
      </w:r>
    </w:p>
    <w:p>
      <w:pPr>
        <w:pStyle w:val="ListParagraph"/>
        <w:numPr>
          <w:ilvl w:val="0"/>
          <w:numId w:val="2"/>
        </w:numPr>
      </w:pPr>
      <w:r>
        <w:t xml:space="preserve">&amp;#x201C;Chargeback fraud costs U.S. merchants $31 billion annually&amp;#x201D; (cited from industry reports)</w:t>
      </w:r>
    </w:p>
    <w:p>
      <w:pPr>
        <w:pStyle w:val="ListParagraph"/>
        <w:numPr>
          <w:ilvl w:val="0"/>
          <w:numId w:val="2"/>
        </w:numPr>
      </w:pPr>
      <w:r>
        <w:t xml:space="preserve">&amp;#x201C;Traditional payment processors operate on 2&amp;#x2013;3 day settlement&amp;#x201D; (factual)</w:t>
      </w:r>
    </w:p>
    <w:p>
      <w:pPr>
        <w:pStyle w:val="ListParagraph"/>
        <w:numPr>
          <w:ilvl w:val="0"/>
          <w:numId w:val="2"/>
        </w:numPr>
      </w:pPr>
      <w:r>
        <w:t xml:space="preserve">&amp;#x201C;Credit card networks shift chargeback liability to merchants&amp;#x201D; (factual, documented in ToS)</w:t>
      </w:r>
    </w:p>
    <w:p>
      <w:pPr>
        <w:spacing w:before="120" w:after="120"/>
      </w:pPr>
      <w:r>
        <w:rPr>
          <w:b/>
          <w:bCs/>
          <w:color w:val="CC0000"/>
        </w:rPr>
        <w:t xml:space="preserve">NOT SAFE TO SAY:</w:t>
      </w:r>
    </w:p>
    <w:p>
      <w:pPr>
        <w:pStyle w:val="ListParagraph"/>
        <w:numPr>
          <w:ilvl w:val="0"/>
          <w:numId w:val="2"/>
        </w:numPr>
      </w:pPr>
      <w:r>
        <w:t xml:space="preserve">&amp;#x201C;Visa is a criminal enterprise&amp;#x201D; (defamation)</w:t>
      </w:r>
    </w:p>
    <w:p>
      <w:pPr>
        <w:pStyle w:val="ListParagraph"/>
        <w:numPr>
          <w:ilvl w:val="0"/>
          <w:numId w:val="2"/>
        </w:numPr>
      </w:pPr>
      <w:r>
        <w:t xml:space="preserve">&amp;#x201C;Mastercard deliberately enables fraud&amp;#x201D; (defamation without proof)</w:t>
      </w:r>
    </w:p>
    <w:p>
      <w:pPr>
        <w:pStyle w:val="ListParagraph"/>
        <w:numPr>
          <w:ilvl w:val="0"/>
          <w:numId w:val="2"/>
        </w:numPr>
      </w:pPr>
      <w:r>
        <w:t xml:space="preserve">&amp;#x201C;Banks are stealing from merchants&amp;#x201D; (inflammatory, legally risky)</w:t>
      </w:r>
    </w:p>
    <w:p>
      <w:pPr>
        <w:spacing w:before="120" w:after="360"/>
      </w:pPr>
      <w:r>
        <w:rPr>
          <w:b/>
          <w:bCs/>
        </w:rPr>
        <w:t xml:space="preserve">Standard: </w:t>
      </w:r>
      <w:r>
        <w:t xml:space="preserve">Factual criticism of industry practices (fees, settlement delays, chargeback structure) is legally defensible. Personal attacks on companies are not. All marketing materials must be reviewed by legal before publication.</w:t>
      </w:r>
    </w:p>
    <w:p>
      <w:pPr>
        <w:pStyle w:val="Heading1"/>
      </w:pPr>
      <w:r>
        <w:t xml:space="preserve">6. Recommendations &amp; Next Steps</w:t>
      </w:r>
    </w:p>
    <w:p>
      <w:pPr>
        <w:pStyle w:val="Heading2"/>
      </w:pPr>
      <w:r>
        <w:t xml:space="preserve">6.1 Immediate Actions (Next 30 Days)</w:t>
      </w:r>
    </w:p>
    <w:p>
      <w:pPr>
        <w:pStyle w:val="ListParagraph"/>
        <w:numPr>
          <w:ilvl w:val="0"/>
          <w:numId w:val="2"/>
        </w:numPr>
      </w:pPr>
      <w:r>
        <w:rPr>
          <w:b/>
          <w:bCs/>
        </w:rPr>
        <w:t xml:space="preserve">Legal: </w:t>
      </w:r>
      <w:r>
        <w:t xml:space="preserve">Draft and execute CIIA agreements (all team members)</w:t>
      </w:r>
    </w:p>
    <w:p>
      <w:pPr>
        <w:pStyle w:val="ListParagraph"/>
        <w:numPr>
          <w:ilvl w:val="0"/>
          <w:numId w:val="2"/>
        </w:numPr>
      </w:pPr>
      <w:r>
        <w:rPr>
          <w:b/>
          <w:bCs/>
        </w:rPr>
        <w:t xml:space="preserve">Legal: </w:t>
      </w:r>
      <w:r>
        <w:t xml:space="preserve">Finalize Terms of Service with non-custodial language</w:t>
      </w:r>
    </w:p>
    <w:p>
      <w:pPr>
        <w:pStyle w:val="ListParagraph"/>
        <w:numPr>
          <w:ilvl w:val="0"/>
          <w:numId w:val="2"/>
        </w:numPr>
      </w:pPr>
      <w:r>
        <w:rPr>
          <w:b/>
          <w:bCs/>
        </w:rPr>
        <w:t xml:space="preserve">Legal: </w:t>
      </w:r>
      <w:r>
        <w:t xml:space="preserve">Review Square Developer ToS for Lightning compliance</w:t>
      </w:r>
    </w:p>
    <w:p>
      <w:pPr>
        <w:pStyle w:val="ListParagraph"/>
        <w:numPr>
          <w:ilvl w:val="0"/>
          <w:numId w:val="2"/>
        </w:numPr>
      </w:pPr>
      <w:r>
        <w:rPr>
          <w:b/>
          <w:bCs/>
        </w:rPr>
        <w:t xml:space="preserve">Technical: </w:t>
      </w:r>
      <w:r>
        <w:t xml:space="preserve">Jeremy builds L402 MVP on sandbox endpoint (proof-of-concept)</w:t>
      </w:r>
    </w:p>
    <w:p>
      <w:pPr>
        <w:pStyle w:val="ListParagraph"/>
        <w:numPr>
          <w:ilvl w:val="0"/>
          <w:numId w:val="2"/>
        </w:numPr>
      </w:pPr>
      <w:r>
        <w:rPr>
          <w:b/>
          <w:bCs/>
        </w:rPr>
        <w:t xml:space="preserve">Operations: </w:t>
      </w:r>
      <w:r>
        <w:t xml:space="preserve">Alex coordinates LNbits/Alby/ZBD partnership discussions</w:t>
      </w:r>
    </w:p>
    <w:p>
      <w:pPr>
        <w:pStyle w:val="ListParagraph"/>
        <w:numPr>
          <w:ilvl w:val="0"/>
          <w:numId w:val="2"/>
        </w:numPr>
      </w:pPr>
      <w:r>
        <w:rPr>
          <w:b/>
          <w:bCs/>
        </w:rPr>
        <w:t xml:space="preserve">Documentation: </w:t>
      </w:r>
      <w:r>
        <w:t xml:space="preserve">Jess creates merchant-facing &amp;#x201C;Instant Micro Payments FAQ&amp;#x201D;</w:t>
      </w:r>
    </w:p>
    <w:p>
      <w:pPr>
        <w:pStyle w:val="Heading2"/>
        <w:spacing w:before="240"/>
      </w:pPr>
      <w:r>
        <w:t xml:space="preserve">6.2 Pre-Launch Requirements (Next 90 Days)</w:t>
      </w:r>
    </w:p>
    <w:p>
      <w:pPr>
        <w:pStyle w:val="ListParagraph"/>
        <w:numPr>
          <w:ilvl w:val="0"/>
          <w:numId w:val="2"/>
        </w:numPr>
      </w:pPr>
      <w:r>
        <w:rPr>
          <w:b/>
          <w:bCs/>
        </w:rPr>
        <w:t xml:space="preserve">Legal: </w:t>
      </w:r>
      <w:r>
        <w:t xml:space="preserve">File &amp;#x201C;The Dome&amp;#x201D; trademark (if investor pitch includes Dome branding)</w:t>
      </w:r>
    </w:p>
    <w:p>
      <w:pPr>
        <w:pStyle w:val="ListParagraph"/>
        <w:numPr>
          <w:ilvl w:val="0"/>
          <w:numId w:val="2"/>
        </w:numPr>
      </w:pPr>
      <w:r>
        <w:rPr>
          <w:b/>
          <w:bCs/>
        </w:rPr>
        <w:t xml:space="preserve">Legal: </w:t>
      </w:r>
      <w:r>
        <w:t xml:space="preserve">State compliance memo (geo-block NY, launch TX/WY/FL)</w:t>
      </w:r>
    </w:p>
    <w:p>
      <w:pPr>
        <w:pStyle w:val="ListParagraph"/>
        <w:numPr>
          <w:ilvl w:val="0"/>
          <w:numId w:val="2"/>
        </w:numPr>
      </w:pPr>
      <w:r>
        <w:rPr>
          <w:b/>
          <w:bCs/>
        </w:rPr>
        <w:t xml:space="preserve">Technical: </w:t>
      </w:r>
      <w:r>
        <w:t xml:space="preserve">Eva delivers Lightning Phase 1 (LNURL-auth) + Phase 2 (L402 API gates)</w:t>
      </w:r>
    </w:p>
    <w:p>
      <w:pPr>
        <w:pStyle w:val="ListParagraph"/>
        <w:numPr>
          <w:ilvl w:val="0"/>
          <w:numId w:val="2"/>
        </w:numPr>
      </w:pPr>
      <w:r>
        <w:rPr>
          <w:b/>
          <w:bCs/>
        </w:rPr>
        <w:t xml:space="preserve">Product: </w:t>
      </w:r>
      <w:r>
        <w:t xml:space="preserve">Merchant onboarding flow tested with non-technical users (UX validation)</w:t>
      </w:r>
    </w:p>
    <w:p>
      <w:pPr>
        <w:pStyle w:val="ListParagraph"/>
        <w:numPr>
          <w:ilvl w:val="0"/>
          <w:numId w:val="2"/>
        </w:numPr>
      </w:pPr>
      <w:r>
        <w:rPr>
          <w:b/>
          <w:bCs/>
        </w:rPr>
        <w:t xml:space="preserve">Compliance: </w:t>
      </w:r>
      <w:r>
        <w:t xml:space="preserve">iOS App Store beta submission (test Lightning approval)</w:t>
      </w:r>
    </w:p>
    <w:p>
      <w:pPr>
        <w:pStyle w:val="Heading2"/>
        <w:spacing w:before="240"/>
      </w:pPr>
      <w:r>
        <w:t xml:space="preserve">6.3 Strategic Positioning (Ongoing)</w:t>
      </w:r>
    </w:p>
    <w:p>
      <w:pPr>
        <w:pStyle w:val="ListParagraph"/>
        <w:numPr>
          <w:ilvl w:val="0"/>
          <w:numId w:val="2"/>
        </w:numPr>
      </w:pPr>
      <w:r>
        <w:rPr>
          <w:b/>
          <w:bCs/>
        </w:rPr>
        <w:t xml:space="preserve">Fundraising: </w:t>
      </w:r>
      <w:r>
        <w:t xml:space="preserve">Position as payment processor disruptor (not loss prevention SaaS)</w:t>
      </w:r>
    </w:p>
    <w:p>
      <w:pPr>
        <w:pStyle w:val="ListParagraph"/>
        <w:numPr>
          <w:ilvl w:val="0"/>
          <w:numId w:val="2"/>
        </w:numPr>
      </w:pPr>
      <w:r>
        <w:rPr>
          <w:b/>
          <w:bCs/>
        </w:rPr>
        <w:t xml:space="preserve">Partnership: </w:t>
      </w:r>
      <w:r>
        <w:t xml:space="preserve">Engage Block Inc. (Square) as strategic partner (Bitcoin-native alignment)</w:t>
      </w:r>
    </w:p>
    <w:p>
      <w:pPr>
        <w:pStyle w:val="ListParagraph"/>
        <w:numPr>
          <w:ilvl w:val="0"/>
          <w:numId w:val="2"/>
        </w:numPr>
      </w:pPr>
      <w:r>
        <w:rPr>
          <w:b/>
          <w:bCs/>
        </w:rPr>
        <w:t xml:space="preserve">Marketing: </w:t>
      </w:r>
      <w:r>
        <w:t xml:space="preserve">Merchant messaging: &amp;#x201C;instant micro payments&amp;#x201D; (avoid crypto jargon)</w:t>
      </w:r>
    </w:p>
    <w:p>
      <w:pPr>
        <w:pStyle w:val="ListParagraph"/>
        <w:numPr>
          <w:ilvl w:val="0"/>
          <w:numId w:val="2"/>
        </w:numPr>
      </w:pPr>
      <w:r>
        <w:rPr>
          <w:b/>
          <w:bCs/>
        </w:rPr>
        <w:t xml:space="preserve">IP Protection: </w:t>
      </w:r>
      <w:r>
        <w:t xml:space="preserve">Maintain trade secret discipline (no public algorithm disclosure)</w:t>
      </w:r>
    </w:p>
    <w:p>
      <w:pPr>
        <w:pStyle w:val="ListParagraph"/>
        <w:numPr>
          <w:ilvl w:val="0"/>
          <w:numId w:val="2"/>
        </w:numPr>
      </w:pPr>
      <w:r>
        <w:rPr>
          <w:b/>
          <w:bCs/>
        </w:rPr>
        <w:t xml:space="preserve">Regulatory: </w:t>
      </w:r>
      <w:r>
        <w:t xml:space="preserve">Monitor state crypto legislation quarterly (CA AB 39, federal MSB guidance)</w:t>
      </w:r>
    </w:p>
    <w:p>
      <w:pPr>
        <w:spacing w:before="360"/>
      </w:pPr>
    </w:p>
    <w:p>
      <w:pPr>
        <w:pStyle w:val="Heading1"/>
      </w:pPr>
      <w:r>
        <w:t xml:space="preserve">Conclusion</w:t>
      </w:r>
    </w:p>
    <w:p>
      <w:pPr>
        <w:spacing w:after="240"/>
      </w:pPr>
      <w:r>
        <w:t xml:space="preserve">Canary&amp;#x2019;s micropayment strategy is legally defensible, technically feasible, and strategically differentiated. The payment processor cartel is vulnerable: merchants resent the 3% tax, hate chargeback fraud, and lack alternatives. Lightning Network provides those alternatives &amp;#x2014; instant settlement, zero chargebacks, sub-cent transaction fees &amp;#x2014; at a scale credit cards cannot match.</w:t>
      </w:r>
    </w:p>
    <w:p>
      <w:pPr>
        <w:spacing w:after="240"/>
      </w:pPr>
      <w:r>
        <w:t xml:space="preserve">Our competitive edge is not just technology. It&amp;#x2019;s positioning. We are pro-merchant, anti-bank. We empower small retailers to control their own security using their own money (satoshis), not subscription fees paid to SaaS gatekeepers. This resonates because it&amp;#x2019;s true.</w:t>
      </w:r>
    </w:p>
    <w:p>
      <w:pPr>
        <w:spacing w:after="240"/>
      </w:pPr>
      <w:r>
        <w:t xml:space="preserve">Legal risks are manageable if we maintain non-custodial architecture, avoid money transmitter triggers, and geo-restrict high-compliance jurisdictions (NY). Regulatory clarity improves as Bitcoin adoption grows and federal/state frameworks mature.</w:t>
      </w:r>
    </w:p>
    <w:p>
      <w:pPr>
        <w:spacing w:after="240"/>
      </w:pPr>
      <w:r>
        <w:rPr>
          <w:b/>
          <w:bCs/>
        </w:rPr>
        <w:t xml:space="preserve">Recommendation: </w:t>
      </w:r>
      <w:r>
        <w:rPr>
          <w:b/>
          <w:bCs/>
        </w:rPr>
        <w:t xml:space="preserve">Proceed aggressively with Lightning integration while maintaining strict compliance discipline. </w:t>
      </w:r>
      <w:r>
        <w:t xml:space="preserve">We are not disrupting loss prevention. We are disrupting payments. Act accordingly.</w:t>
      </w:r>
    </w:p>
    <w:p>
      <w:pPr>
        <w:spacing w:before="480"/>
      </w:pPr>
    </w:p>
    <w:p>
      <w:pPr>
        <w:pBdr>
          <w:top w:val="single" w:color="CCCCCC" w:sz="6" w:space="1"/>
        </w:pBdr>
        <w:spacing w:before="240"/>
        <w:jc w:val="center"/>
      </w:pPr>
      <w:r>
        <w:rPr>
          <w:i/>
          <w:iCs/>
          <w:color w:val="666666"/>
        </w:rPr>
        <w:t xml:space="preserve">— End of Position Paper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Canary LP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BBF24" w:sz="6" w:space="1"/>
      </w:pBdr>
    </w:pPr>
    <w:r>
      <w:rPr>
        <w:b/>
        <w:bCs/>
        <w:color w:val="FBBF24"/>
      </w:rPr>
      <w:t xml:space="preserve">Canary LP</w:t>
    </w:r>
    <w:r>
      <w:rPr>
        <w:color w:val="666666"/>
      </w:rPr>
      <w:t xml:space="preserve"> | Legal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libri" w:cs="Calibri" w:eastAsia="Calibri" w:hAnsi="Calibri"/>
      <w:b/>
      <w:bCs/>
      <w:color w:val="FBBF24"/>
      <w:sz w:val="32"/>
      <w:szCs w:val="32"/>
    </w:rPr>
  </w:style>
  <w:style w:type="paragraph" w:styleId="Heading2">
    <w:name w:val="Heading 2"/>
    <w:basedOn w:val="Normal"/>
    <w:next w:val="Normal"/>
    <w:qFormat/>
    <w:pPr>
      <w:spacing w:before="360" w:after="180"/>
      <w:outlineLvl w:val="1"/>
    </w:pPr>
    <w:rPr>
      <w:rFonts w:ascii="Calibri" w:cs="Calibri" w:eastAsia="Calibri" w:hAnsi="Calibri"/>
      <w:b/>
      <w:bCs/>
      <w:color w:val="FBBF24"/>
      <w:sz w:val="28"/>
      <w:szCs w:val="28"/>
    </w:rPr>
  </w:style>
  <w:style w:type="paragraph" w:styleId="Heading3">
    <w:name w:val="Heading 3"/>
    <w:basedOn w:val="Normal"/>
    <w:next w:val="Normal"/>
    <w:qFormat/>
    <w:pPr>
      <w:spacing w:before="240" w:after="1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2026-02-16T17:55:09.759Z</dcterms:created>
  <dcterms:modified xsi:type="dcterms:W3CDTF">2026-02-16T17:55:09.759Z</dcterms:modified>
</cp:coreProperties>
</file>

<file path=docProps/custom.xml><?xml version="1.0" encoding="utf-8"?>
<Properties xmlns="http://schemas.openxmlformats.org/officeDocument/2006/custom-properties" xmlns:vt="http://schemas.openxmlformats.org/officeDocument/2006/docPropsVTypes"/>
</file>