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D3E"/>
          <w:sz w:val="36"/>
          <w:szCs w:val="36"/>
        </w:rPr>
        <w:t xml:space="preserve">LEGAL RISK ASSESSMENT</w:t>
      </w:r>
    </w:p>
    <w:p>
      <w:pPr>
        <w:spacing w:after="400"/>
        <w:jc w:val="center"/>
      </w:pPr>
      <w:r>
        <w:rPr>
          <w:rFonts w:ascii="Arial" w:cs="Arial" w:eastAsia="Arial" w:hAnsi="Arial"/>
          <w:color w:val="666666"/>
          <w:sz w:val="24"/>
          <w:szCs w:val="24"/>
        </w:rPr>
        <w:t xml:space="preserve">Lightning Service Provider (LSP) — Regulatory Classification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F5F0" w:val="clear"/>
            <w:tcMar>
              <w:top w:type="dxa" w:w="80"/>
              <w:left w:type="dxa" w:w="120"/>
              <w:bottom w:type="dxa" w:w="80"/>
              <w:right w:type="dxa" w:w="12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March 5, 2026</w:t>
            </w:r>
          </w:p>
        </w:tc>
      </w:tr>
      <w:tr>
        <w:tc>
          <w:tcPr>
            <w:tcW w:type="dxa" w:w="2800"/>
            <w:tcBorders>
              <w:top w:val="single" w:color="CCCCCC" w:sz="1"/>
              <w:left w:val="single" w:color="CCCCCC" w:sz="1"/>
              <w:bottom w:val="single" w:color="CCCCCC" w:sz="1"/>
              <w:right w:val="single" w:color="CCCCCC" w:sz="1"/>
            </w:tcBorders>
            <w:shd w:fill="EDF5F0" w:val="clear"/>
            <w:tcMar>
              <w:top w:type="dxa" w:w="80"/>
              <w:left w:type="dxa" w:w="120"/>
              <w:bottom w:type="dxa" w:w="80"/>
              <w:right w:type="dxa" w:w="120"/>
            </w:tcMar>
          </w:tcPr>
          <w:p>
            <w:r>
              <w:rPr>
                <w:rFonts w:ascii="Arial" w:cs="Arial" w:eastAsia="Arial" w:hAnsi="Arial"/>
                <w:b/>
                <w:bCs/>
                <w:color w:val="333333"/>
                <w:sz w:val="20"/>
                <w:szCs w:val="20"/>
              </w:rPr>
              <w:t xml:space="preserve">Assessor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Syd (Legal Counsel) via ALX (Chief of Staff)</w:t>
            </w:r>
          </w:p>
        </w:tc>
      </w:tr>
      <w:tr>
        <w:tc>
          <w:tcPr>
            <w:tcW w:type="dxa" w:w="2800"/>
            <w:tcBorders>
              <w:top w:val="single" w:color="CCCCCC" w:sz="1"/>
              <w:left w:val="single" w:color="CCCCCC" w:sz="1"/>
              <w:bottom w:val="single" w:color="CCCCCC" w:sz="1"/>
              <w:right w:val="single" w:color="CCCCCC" w:sz="1"/>
            </w:tcBorders>
            <w:shd w:fill="EDF5F0" w:val="clear"/>
            <w:tcMar>
              <w:top w:type="dxa" w:w="80"/>
              <w:left w:type="dxa" w:w="120"/>
              <w:bottom w:type="dxa" w:w="80"/>
              <w:right w:type="dxa" w:w="120"/>
            </w:tcMar>
          </w:tcPr>
          <w:p>
            <w:r>
              <w:rPr>
                <w:rFonts w:ascii="Arial" w:cs="Arial" w:eastAsia="Arial" w:hAnsi="Arial"/>
                <w:b/>
                <w:bCs/>
                <w:color w:val="333333"/>
                <w:sz w:val="20"/>
                <w:szCs w:val="20"/>
              </w:rPr>
              <w:t xml:space="preserve">Matter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GrowDirect operating as a Lightning Service Provider (LSP) providing liquidity channels to Square merchants who opt into Canary’s Bitcoin/Lightning tier</w:t>
            </w:r>
          </w:p>
        </w:tc>
      </w:tr>
      <w:tr>
        <w:tc>
          <w:tcPr>
            <w:tcW w:type="dxa" w:w="2800"/>
            <w:tcBorders>
              <w:top w:val="single" w:color="CCCCCC" w:sz="1"/>
              <w:left w:val="single" w:color="CCCCCC" w:sz="1"/>
              <w:bottom w:val="single" w:color="CCCCCC" w:sz="1"/>
              <w:right w:val="single" w:color="CCCCCC" w:sz="1"/>
            </w:tcBorders>
            <w:shd w:fill="EDF5F0" w:val="clear"/>
            <w:tcMar>
              <w:top w:type="dxa" w:w="80"/>
              <w:left w:type="dxa" w:w="120"/>
              <w:bottom w:type="dxa" w:w="80"/>
              <w:right w:type="dxa" w:w="120"/>
            </w:tcMar>
          </w:tcPr>
          <w:p>
            <w:r>
              <w:rPr>
                <w:rFonts w:ascii="Arial" w:cs="Arial" w:eastAsia="Arial" w:hAnsi="Arial"/>
                <w:b/>
                <w:bCs/>
                <w:color w:val="333333"/>
                <w:sz w:val="20"/>
                <w:szCs w:val="20"/>
              </w:rPr>
              <w:t xml:space="preserve">Privileged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 Attorney-Client Privileged</w:t>
            </w:r>
          </w:p>
        </w:tc>
      </w:tr>
      <w:tr>
        <w:tc>
          <w:tcPr>
            <w:tcW w:type="dxa" w:w="2800"/>
            <w:tcBorders>
              <w:top w:val="single" w:color="CCCCCC" w:sz="1"/>
              <w:left w:val="single" w:color="CCCCCC" w:sz="1"/>
              <w:bottom w:val="single" w:color="CCCCCC" w:sz="1"/>
              <w:right w:val="single" w:color="CCCCCC" w:sz="1"/>
            </w:tcBorders>
            <w:shd w:fill="EDF5F0" w:val="clear"/>
            <w:tcMar>
              <w:top w:type="dxa" w:w="80"/>
              <w:left w:type="dxa" w:w="120"/>
              <w:bottom w:type="dxa" w:w="80"/>
              <w:right w:type="dxa" w:w="120"/>
            </w:tcMar>
          </w:tcPr>
          <w:p>
            <w:r>
              <w:rPr>
                <w:rFonts w:ascii="Arial" w:cs="Arial" w:eastAsia="Arial" w:hAnsi="Arial"/>
                <w:b/>
                <w:bCs/>
                <w:color w:val="333333"/>
                <w:sz w:val="20"/>
                <w:szCs w:val="20"/>
              </w:rPr>
              <w:t xml:space="preserve">Related Issues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GRO-123, GRO-93, GRO-102, GRO-19, GRO-117</w:t>
            </w:r>
          </w:p>
        </w:tc>
      </w:tr>
      <w:tr>
        <w:tc>
          <w:tcPr>
            <w:tcW w:type="dxa" w:w="2800"/>
            <w:tcBorders>
              <w:top w:val="single" w:color="CCCCCC" w:sz="1"/>
              <w:left w:val="single" w:color="CCCCCC" w:sz="1"/>
              <w:bottom w:val="single" w:color="CCCCCC" w:sz="1"/>
              <w:right w:val="single" w:color="CCCCCC" w:sz="1"/>
            </w:tcBorders>
            <w:shd w:fill="EDF5F0" w:val="clear"/>
            <w:tcMar>
              <w:top w:type="dxa" w:w="80"/>
              <w:left w:type="dxa" w:w="120"/>
              <w:bottom w:type="dxa" w:w="80"/>
              <w:right w:type="dxa" w:w="120"/>
            </w:tcMar>
          </w:tcPr>
          <w:p>
            <w:r>
              <w:rPr>
                <w:rFonts w:ascii="Arial" w:cs="Arial" w:eastAsia="Arial" w:hAnsi="Arial"/>
                <w:b/>
                <w:bCs/>
                <w:color w:val="333333"/>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CONFIDENTIAL — Internal Use Only</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A5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 LEVEL</w:t>
            </w:r>
          </w:p>
          <w:p>
            <w:pPr>
              <w:jc w:val="center"/>
            </w:pPr>
            <w:r>
              <w:rPr>
                <w:rFonts w:ascii="Arial" w:cs="Arial" w:eastAsia="Arial" w:hAnsi="Arial"/>
                <w:b/>
                <w:bCs/>
                <w:color w:val="FFFFFF"/>
                <w:sz w:val="28"/>
                <w:szCs w:val="28"/>
              </w:rPr>
              <w:t xml:space="preserve">ORANGE — HIGH</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SEVERITY</w:t>
            </w:r>
          </w:p>
          <w:p>
            <w:pPr>
              <w:jc w:val="center"/>
            </w:pPr>
            <w:r>
              <w:rPr>
                <w:rFonts w:ascii="Arial" w:cs="Arial" w:eastAsia="Arial" w:hAnsi="Arial"/>
                <w:b/>
                <w:bCs/>
                <w:color w:val="E65100"/>
                <w:sz w:val="28"/>
                <w:szCs w:val="28"/>
              </w:rPr>
              <w:t xml:space="preserve">4 — High</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LIKELIHOOD</w:t>
            </w:r>
          </w:p>
          <w:p>
            <w:pPr>
              <w:jc w:val="center"/>
            </w:pPr>
            <w:r>
              <w:rPr>
                <w:rFonts w:ascii="Arial" w:cs="Arial" w:eastAsia="Arial" w:hAnsi="Arial"/>
                <w:b/>
                <w:bCs/>
                <w:color w:val="E65100"/>
                <w:sz w:val="28"/>
                <w:szCs w:val="28"/>
              </w:rPr>
              <w:t xml:space="preserve">3 — Possible</w:t>
            </w:r>
          </w:p>
        </w:tc>
      </w:tr>
    </w:tbl>
    <w:p>
      <w:pPr>
        <w:spacing w:before="100"/>
        <w:jc w:val="center"/>
      </w:pPr>
      <w:r>
        <w:rPr>
          <w:rFonts w:ascii="Arial" w:cs="Arial" w:eastAsia="Arial" w:hAnsi="Arial"/>
          <w:i/>
          <w:iCs/>
          <w:color w:val="E65100"/>
          <w:sz w:val="18"/>
          <w:szCs w:val="18"/>
        </w:rPr>
        <w:t xml:space="preserve">Risk Score: 12 / 25  |  Gate: Outside counsel recommended before implementation</w:t>
      </w:r>
    </w:p>
    <w:p>
      <w:pPr>
        <w:pStyle w:val="Heading1"/>
      </w:pPr>
      <w:r>
        <w:t xml:space="preserve">1. Risk Description</w:t>
      </w:r>
    </w:p>
    <w:p>
      <w:pPr>
        <w:spacing w:after="200"/>
      </w:pPr>
      <w:r>
        <w:rPr>
          <w:sz w:val="22"/>
          <w:szCs w:val="22"/>
        </w:rPr>
        <w:t xml:space="preserve">GrowDirect proposes operating as a Lightning Service Provider (LSP), running a Lightning Network node that provides anonymous inbound liquidity channels to Square merchants who opt into Canary’s Bitcoin/Lightning payment tier. The node would route Lightning payments to and from merchants, collecting routing fees natively on the Lightning Network and potentially Square Application Fees on the fiat payment rail.</w:t>
      </w:r>
    </w:p>
    <w:p>
      <w:pPr>
        <w:spacing w:after="200"/>
      </w:pPr>
      <w:r>
        <w:rPr>
          <w:sz w:val="22"/>
          <w:szCs w:val="22"/>
        </w:rPr>
        <w:t xml:space="preserve">The core legal risk is that providing Lightning payment channel liquidity and routing payments through GrowDirect’s node may constitute money transmission under federal (FinCEN) and state law, triggering Money Services Business (MSB) registration requirements, state Money Transmitter License (MTL) obligations, and AML/KYC compliance mandates.</w:t>
      </w:r>
    </w:p>
    <w:p>
      <w:pPr>
        <w:pStyle w:val="Heading1"/>
      </w:pPr>
      <w:r>
        <w:t xml:space="preserve">2. Background and Context</w:t>
      </w:r>
    </w:p>
    <w:p>
      <w:pPr>
        <w:spacing w:after="120"/>
      </w:pPr>
      <w:r>
        <w:rPr>
          <w:sz w:val="22"/>
          <w:szCs w:val="22"/>
        </w:rPr>
        <w:t xml:space="preserve">Canary LP is an AI-powered loss prevention product for Square merchants. The current product architecture is read-only: Canary ingests Square webhooks via OAuth, analyzes transaction data, and surfaces LP alerts through a dashboard. This architecture carries no money transmitter risk.</w:t>
      </w:r>
    </w:p>
    <w:p>
      <w:pPr>
        <w:spacing w:after="120"/>
      </w:pPr>
      <w:r>
        <w:rPr>
          <w:sz w:val="22"/>
          <w:szCs w:val="22"/>
        </w:rPr>
        <w:t xml:space="preserve">The proposed LSP extension adds a fundamentally different capability: GrowDirect would operate a Lightning Network node, open payment channels with merchant nodes, provide inbound liquidity so merchants can receive Lightning payments, and route payments through these channels. Revenue would come from Lightning routing fees and potentially Square Application Fees attached to transactions.</w:t>
      </w:r>
    </w:p>
    <w:p>
      <w:pPr>
        <w:spacing w:after="120"/>
      </w:pPr>
      <w:r>
        <w:rPr>
          <w:sz w:val="22"/>
          <w:szCs w:val="22"/>
        </w:rPr>
        <w:t xml:space="preserve">The node identity would remain anonymous on the network (identified only by a public key), though GrowDirect as a registered US entity would control the node and collect the revenue.</w:t>
      </w:r>
    </w:p>
    <w:p>
      <w:pPr>
        <w:spacing w:after="200"/>
      </w:pPr>
      <w:r>
        <w:rPr>
          <w:sz w:val="22"/>
          <w:szCs w:val="22"/>
        </w:rPr>
        <w:t xml:space="preserve">This connects to GRO-93 (Square BTC treasury setup / Lightning channels) on the infrastructure side and GRO-102 (Square subscription billing) on the revenue model side.</w:t>
      </w:r>
    </w:p>
    <w:p>
      <w:pPr>
        <w:pStyle w:val="Heading1"/>
      </w:pPr>
      <w:r>
        <w:t xml:space="preserve">3. Risk Analysis</w:t>
      </w:r>
    </w:p>
    <w:p>
      <w:pPr>
        <w:pStyle w:val="Heading2"/>
      </w:pPr>
      <w:r>
        <w:t xml:space="preserve">Severity Assessment: 4 — High</w:t>
      </w:r>
    </w:p>
    <w:p>
      <w:pPr>
        <w:spacing w:after="120"/>
      </w:pPr>
      <w:r>
        <w:rPr>
          <w:sz w:val="22"/>
          <w:szCs w:val="22"/>
        </w:rPr>
        <w:t xml:space="preserve">If GrowDirect is classified as an unlicensed money transmitter, the consequences are severe:</w:t>
      </w:r>
    </w:p>
    <w:p>
      <w:pPr>
        <w:pStyle w:val="ListParagraph"/>
        <w:numPr>
          <w:ilvl w:val="0"/>
          <w:numId w:val="2"/>
        </w:numPr>
      </w:pPr>
      <w:r>
        <w:rPr>
          <w:b/>
          <w:bCs/>
          <w:sz w:val="22"/>
          <w:szCs w:val="22"/>
        </w:rPr>
        <w:t xml:space="preserve">Federal criminal liability: </w:t>
      </w:r>
      <w:r>
        <w:rPr>
          <w:sz w:val="22"/>
          <w:szCs w:val="22"/>
        </w:rPr>
        <w:t xml:space="preserve">18 U.S.C. § 1960 — operating an unlicensed money transmitting business is a federal offense, punishable by up to $250,000 in fines and 5 years imprisonment.</w:t>
      </w:r>
    </w:p>
    <w:p>
      <w:pPr>
        <w:pStyle w:val="ListParagraph"/>
        <w:numPr>
          <w:ilvl w:val="0"/>
          <w:numId w:val="2"/>
        </w:numPr>
      </w:pPr>
      <w:r>
        <w:rPr>
          <w:b/>
          <w:bCs/>
          <w:sz w:val="22"/>
          <w:szCs w:val="22"/>
        </w:rPr>
        <w:t xml:space="preserve">State-level penalties: </w:t>
      </w:r>
      <w:r>
        <w:rPr>
          <w:sz w:val="22"/>
          <w:szCs w:val="22"/>
        </w:rPr>
        <w:t xml:space="preserve">Each state has its own MTL requirements with independent penalties. Operating without licenses in multiple states compounds exposure.</w:t>
      </w:r>
    </w:p>
    <w:p>
      <w:pPr>
        <w:pStyle w:val="ListParagraph"/>
        <w:numPr>
          <w:ilvl w:val="0"/>
          <w:numId w:val="2"/>
        </w:numPr>
      </w:pPr>
      <w:r>
        <w:rPr>
          <w:b/>
          <w:bCs/>
          <w:sz w:val="22"/>
          <w:szCs w:val="22"/>
        </w:rPr>
        <w:t xml:space="preserve">FinCEN enforcement: </w:t>
      </w:r>
      <w:r>
        <w:rPr>
          <w:sz w:val="22"/>
          <w:szCs w:val="22"/>
        </w:rPr>
        <w:t xml:space="preserve">Civil monetary penalties, consent orders, and required remediation programs.</w:t>
      </w:r>
    </w:p>
    <w:p>
      <w:pPr>
        <w:pStyle w:val="ListParagraph"/>
        <w:numPr>
          <w:ilvl w:val="0"/>
          <w:numId w:val="2"/>
        </w:numPr>
      </w:pPr>
      <w:r>
        <w:rPr>
          <w:b/>
          <w:bCs/>
          <w:sz w:val="22"/>
          <w:szCs w:val="22"/>
        </w:rPr>
        <w:t xml:space="preserve">Business disruption: </w:t>
      </w:r>
      <w:r>
        <w:rPr>
          <w:sz w:val="22"/>
          <w:szCs w:val="22"/>
        </w:rPr>
        <w:t xml:space="preserve">Forced cessation of LSP operations, potential impact on the core LP product if regulators view them as inseparable.</w:t>
      </w:r>
    </w:p>
    <w:p>
      <w:pPr>
        <w:pStyle w:val="ListParagraph"/>
        <w:numPr>
          <w:ilvl w:val="0"/>
          <w:numId w:val="2"/>
        </w:numPr>
        <w:spacing w:after="200"/>
      </w:pPr>
      <w:r>
        <w:rPr>
          <w:b/>
          <w:bCs/>
          <w:sz w:val="22"/>
          <w:szCs w:val="22"/>
        </w:rPr>
        <w:t xml:space="preserve">Reputational damage: </w:t>
      </w:r>
      <w:r>
        <w:rPr>
          <w:sz w:val="22"/>
          <w:szCs w:val="22"/>
        </w:rPr>
        <w:t xml:space="preserve">Regulatory action would undermine merchant trust and investor confidence.</w:t>
      </w:r>
    </w:p>
    <w:p>
      <w:pPr>
        <w:pStyle w:val="Heading2"/>
      </w:pPr>
      <w:r>
        <w:t xml:space="preserve">Likelihood Assessment: 3 — Possible</w:t>
      </w:r>
    </w:p>
    <w:p>
      <w:pPr>
        <w:spacing w:after="120"/>
      </w:pPr>
      <w:r>
        <w:rPr>
          <w:sz w:val="22"/>
          <w:szCs w:val="22"/>
        </w:rPr>
        <w:t xml:space="preserve">The likelihood is rated “Possible” rather than “Likely” because of significant mitigating precedent:</w:t>
      </w:r>
    </w:p>
    <w:p>
      <w:pPr>
        <w:pStyle w:val="ListParagraph"/>
        <w:numPr>
          <w:ilvl w:val="0"/>
          <w:numId w:val="2"/>
        </w:numPr>
      </w:pPr>
      <w:r>
        <w:rPr>
          <w:b/>
          <w:bCs/>
          <w:sz w:val="22"/>
          <w:szCs w:val="22"/>
        </w:rPr>
        <w:t xml:space="preserve">Industry precedent: </w:t>
      </w:r>
      <w:r>
        <w:rPr>
          <w:sz w:val="22"/>
          <w:szCs w:val="22"/>
        </w:rPr>
        <w:t xml:space="preserve">ACINQ (Phoenix Wallet), Breez, Voltage, and other US-based entities operate as LSPs without publicly holding Money Transmitter Licenses, relying on non-custodial architecture as their exemption basis.</w:t>
      </w:r>
    </w:p>
    <w:p>
      <w:pPr>
        <w:pStyle w:val="ListParagraph"/>
        <w:numPr>
          <w:ilvl w:val="0"/>
          <w:numId w:val="2"/>
        </w:numPr>
      </w:pPr>
      <w:r>
        <w:rPr>
          <w:b/>
          <w:bCs/>
          <w:sz w:val="22"/>
          <w:szCs w:val="22"/>
        </w:rPr>
        <w:t xml:space="preserve">FinCEN silence: </w:t>
      </w:r>
      <w:r>
        <w:rPr>
          <w:sz w:val="22"/>
          <w:szCs w:val="22"/>
        </w:rPr>
        <w:t xml:space="preserve">FinCEN has not issued enforcement actions against non-custodial Lightning routing nodes, despite the technology being in active use since 2018.</w:t>
      </w:r>
    </w:p>
    <w:p>
      <w:pPr>
        <w:pStyle w:val="ListParagraph"/>
        <w:numPr>
          <w:ilvl w:val="0"/>
          <w:numId w:val="2"/>
        </w:numPr>
      </w:pPr>
      <w:r>
        <w:rPr>
          <w:b/>
          <w:bCs/>
          <w:sz w:val="22"/>
          <w:szCs w:val="22"/>
        </w:rPr>
        <w:t xml:space="preserve">Non-custodial design: </w:t>
      </w:r>
      <w:r>
        <w:rPr>
          <w:sz w:val="22"/>
          <w:szCs w:val="22"/>
        </w:rPr>
        <w:t xml:space="preserve">In a properly structured LSP, the merchant holds their own keys. GrowDirect would not take custody of merchant funds at any point.</w:t>
      </w:r>
    </w:p>
    <w:p>
      <w:pPr>
        <w:pStyle w:val="ListParagraph"/>
        <w:numPr>
          <w:ilvl w:val="0"/>
          <w:numId w:val="2"/>
        </w:numPr>
        <w:spacing w:after="200"/>
      </w:pPr>
      <w:r>
        <w:rPr>
          <w:b/>
          <w:bCs/>
          <w:sz w:val="22"/>
          <w:szCs w:val="22"/>
        </w:rPr>
        <w:t xml:space="preserve">However: </w:t>
      </w:r>
      <w:r>
        <w:rPr>
          <w:sz w:val="22"/>
          <w:szCs w:val="22"/>
        </w:rPr>
        <w:t xml:space="preserve">FinCEN’s 2019 CVC Guidance does not mention Lightning specifically. Silence is not exemption. State regulators may take different positions. The MTMA (Money Transmitter Model Act), now adopted by 31 states, could create new exposure as it continues to roll out.</w:t>
      </w:r>
    </w:p>
    <w:p>
      <w:pPr>
        <w:pStyle w:val="Heading2"/>
      </w:pPr>
      <w:r>
        <w:t xml:space="preserve">Risk Score: 12 — ORANGE (High Risk)</w:t>
      </w:r>
    </w:p>
    <w:p>
      <w:pPr>
        <w:pStyle w:val="Heading1"/>
      </w:pPr>
      <w:r>
        <w:t xml:space="preserve">4. Contributing Factors</w:t>
      </w:r>
    </w:p>
    <w:p>
      <w:pPr>
        <w:pStyle w:val="ListParagraph"/>
        <w:numPr>
          <w:ilvl w:val="0"/>
          <w:numId w:val="3"/>
        </w:numPr>
      </w:pPr>
      <w:r>
        <w:rPr>
          <w:b/>
          <w:bCs/>
          <w:sz w:val="22"/>
          <w:szCs w:val="22"/>
        </w:rPr>
        <w:t xml:space="preserve">FinCEN’s broad definition of money transmission: </w:t>
      </w:r>
      <w:r>
        <w:rPr>
          <w:sz w:val="22"/>
          <w:szCs w:val="22"/>
        </w:rPr>
        <w:t xml:space="preserve">“acceptance of currency, funds, or other value that substitutes for currency from one person and transmission to another location or person by any means.” Lightning routing arguably fits.</w:t>
      </w:r>
    </w:p>
    <w:p>
      <w:pPr>
        <w:pStyle w:val="ListParagraph"/>
        <w:numPr>
          <w:ilvl w:val="0"/>
          <w:numId w:val="3"/>
        </w:numPr>
      </w:pPr>
      <w:r>
        <w:rPr>
          <w:b/>
          <w:bCs/>
          <w:sz w:val="22"/>
          <w:szCs w:val="22"/>
        </w:rPr>
        <w:t xml:space="preserve">State-level fragmentation: </w:t>
      </w:r>
      <w:r>
        <w:rPr>
          <w:sz w:val="22"/>
          <w:szCs w:val="22"/>
        </w:rPr>
        <w:t xml:space="preserve">Even if FinCEN is satisfied with non-custodial exemption, individual states may disagree. New York’s BitLicense is the most restrictive, but other states have their own requirements.</w:t>
      </w:r>
    </w:p>
    <w:p>
      <w:pPr>
        <w:pStyle w:val="ListParagraph"/>
        <w:numPr>
          <w:ilvl w:val="0"/>
          <w:numId w:val="3"/>
        </w:numPr>
      </w:pPr>
      <w:r>
        <w:rPr>
          <w:b/>
          <w:bCs/>
          <w:sz w:val="22"/>
          <w:szCs w:val="22"/>
        </w:rPr>
        <w:t xml:space="preserve">Anonymous node + registered entity = tension: </w:t>
      </w:r>
      <w:r>
        <w:rPr>
          <w:sz w:val="22"/>
          <w:szCs w:val="22"/>
        </w:rPr>
        <w:t xml:space="preserve">Operating an anonymous Lightning node while being a registered US entity collecting fees creates a regulatory dissonance. FinCEN doesn’t care about public keys; they care about who controls the node.</w:t>
      </w:r>
    </w:p>
    <w:p>
      <w:pPr>
        <w:pStyle w:val="ListParagraph"/>
        <w:numPr>
          <w:ilvl w:val="0"/>
          <w:numId w:val="3"/>
        </w:numPr>
      </w:pPr>
      <w:r>
        <w:rPr>
          <w:b/>
          <w:bCs/>
          <w:sz w:val="22"/>
          <w:szCs w:val="22"/>
        </w:rPr>
        <w:t xml:space="preserve">Dual revenue streams compound complexity: </w:t>
      </w:r>
      <w:r>
        <w:rPr>
          <w:sz w:val="22"/>
          <w:szCs w:val="22"/>
        </w:rPr>
        <w:t xml:space="preserve">Combining Lightning routing fees with Square Application Fees creates dual regulatory exposure — Square’s Developer ToS plus FinCEN/state money transmitter requirements.</w:t>
      </w:r>
    </w:p>
    <w:p>
      <w:pPr>
        <w:pStyle w:val="ListParagraph"/>
        <w:numPr>
          <w:ilvl w:val="0"/>
          <w:numId w:val="3"/>
        </w:numPr>
        <w:spacing w:after="200"/>
      </w:pPr>
      <w:r>
        <w:rPr>
          <w:b/>
          <w:bCs/>
          <w:sz w:val="22"/>
          <w:szCs w:val="22"/>
        </w:rPr>
        <w:t xml:space="preserve">Evolving regulatory landscape: </w:t>
      </w:r>
      <w:r>
        <w:rPr>
          <w:sz w:val="22"/>
          <w:szCs w:val="22"/>
        </w:rPr>
        <w:t xml:space="preserve">The MTMA is being adopted by more states each year. New federal crypto legislation could clarify or tighten requirements. Regulatory risk is directionally increasing.</w:t>
      </w:r>
    </w:p>
    <w:p>
      <w:pPr>
        <w:pStyle w:val="Heading1"/>
      </w:pPr>
      <w:r>
        <w:t xml:space="preserve">5. Mitigating Factors</w:t>
      </w:r>
    </w:p>
    <w:p>
      <w:pPr>
        <w:pStyle w:val="ListParagraph"/>
        <w:numPr>
          <w:ilvl w:val="0"/>
          <w:numId w:val="4"/>
        </w:numPr>
      </w:pPr>
      <w:r>
        <w:rPr>
          <w:b/>
          <w:bCs/>
          <w:sz w:val="22"/>
          <w:szCs w:val="22"/>
        </w:rPr>
        <w:t xml:space="preserve">Non-custodial architecture: </w:t>
      </w:r>
      <w:r>
        <w:rPr>
          <w:sz w:val="22"/>
          <w:szCs w:val="22"/>
        </w:rPr>
        <w:t xml:space="preserve">The strongest legal defense. FinCEN’s 2019 CVC Guidance exempts “persons providing delivery, communication, or network access services used by a money transmitter to support money transmission services.” An LSP providing channel liquidity is arguably a network access service.</w:t>
      </w:r>
    </w:p>
    <w:p>
      <w:pPr>
        <w:pStyle w:val="ListParagraph"/>
        <w:numPr>
          <w:ilvl w:val="0"/>
          <w:numId w:val="4"/>
        </w:numPr>
      </w:pPr>
      <w:r>
        <w:rPr>
          <w:b/>
          <w:bCs/>
          <w:sz w:val="22"/>
          <w:szCs w:val="22"/>
        </w:rPr>
        <w:t xml:space="preserve">Industry standard practice: </w:t>
      </w:r>
      <w:r>
        <w:rPr>
          <w:sz w:val="22"/>
          <w:szCs w:val="22"/>
        </w:rPr>
        <w:t xml:space="preserve">Multiple well-funded US-based companies (ACINQ, Breez, Voltage, ZBD, Lightspark) operate as LSPs. No public enforcement actions have been taken against non-custodial Lightning routing providers.</w:t>
      </w:r>
    </w:p>
    <w:p>
      <w:pPr>
        <w:pStyle w:val="ListParagraph"/>
        <w:numPr>
          <w:ilvl w:val="0"/>
          <w:numId w:val="4"/>
        </w:numPr>
      </w:pPr>
      <w:r>
        <w:rPr>
          <w:b/>
          <w:bCs/>
          <w:sz w:val="22"/>
          <w:szCs w:val="22"/>
        </w:rPr>
        <w:t xml:space="preserve">Bitcoin-friendly jurisdictions: </w:t>
      </w:r>
      <w:r>
        <w:rPr>
          <w:sz w:val="22"/>
          <w:szCs w:val="22"/>
        </w:rPr>
        <w:t xml:space="preserve">Texas, Wyoming, and Florida have enacted Bitcoin-friendly legislation. GrowDirect can choose initial operating jurisdictions to minimize risk.</w:t>
      </w:r>
    </w:p>
    <w:p>
      <w:pPr>
        <w:pStyle w:val="ListParagraph"/>
        <w:numPr>
          <w:ilvl w:val="0"/>
          <w:numId w:val="4"/>
        </w:numPr>
      </w:pPr>
      <w:r>
        <w:rPr>
          <w:b/>
          <w:bCs/>
          <w:sz w:val="22"/>
          <w:szCs w:val="22"/>
        </w:rPr>
        <w:t xml:space="preserve">Entity separation option: </w:t>
      </w:r>
      <w:r>
        <w:rPr>
          <w:sz w:val="22"/>
          <w:szCs w:val="22"/>
        </w:rPr>
        <w:t xml:space="preserve">The LP software (clearly not money transmission) can be legally separated from the LSP liquidity function (potentially money transmission) through distinct legal entities or service tiers.</w:t>
      </w:r>
    </w:p>
    <w:p>
      <w:pPr>
        <w:pStyle w:val="ListParagraph"/>
        <w:numPr>
          <w:ilvl w:val="0"/>
          <w:numId w:val="4"/>
        </w:numPr>
        <w:spacing w:after="200"/>
      </w:pPr>
      <w:r>
        <w:rPr>
          <w:b/>
          <w:bCs/>
          <w:sz w:val="22"/>
          <w:szCs w:val="22"/>
        </w:rPr>
        <w:t xml:space="preserve">Breez Open LSP Model precedent: </w:t>
      </w:r>
      <w:r>
        <w:rPr>
          <w:sz w:val="22"/>
          <w:szCs w:val="22"/>
        </w:rPr>
        <w:t xml:space="preserve">Breez has published its LSP model openly and explicitly states: “No one involved — users, LSP partners, or Breez — relinquishes custody of their bitcoin.” This provides a documented industry framework to follow.</w:t>
      </w:r>
    </w:p>
    <w:p>
      <w:pPr>
        <w:pStyle w:val="Heading1"/>
      </w:pPr>
      <w:r>
        <w:t xml:space="preserve">6. Mitigation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Effectiveness</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Cost/Effort</w:t>
            </w:r>
          </w:p>
        </w:tc>
        <w:tc>
          <w:tcPr>
            <w:tcW w:type="dxa" w:w="2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Engage outside counsel specializing in crypto/money transmission for formal opinion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 ($15–50K)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YES — Priority 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Study ACINQ/Breez/Voltage entity structures and replicate proven legal architecture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YES — Priority 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Separate LP software entity from LSP liquidity entity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YES — if counsel advises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Launch LSP only in Bitcoin-friendly states (TX, WY, FL) initially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YES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Register as MSB with FinCEN proactively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 (no fee)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CONSIDER — counsel to advise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Obtain state MTLs in all 50 states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Very High ($1M+)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NO — not at current stage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Abandon LSP model entirely; bill via external SaaS subscription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Eliminates risk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FALLBACK ONLY</w:t>
            </w:r>
          </w:p>
        </w:tc>
      </w:tr>
    </w:tbl>
    <w:p>
      <w:pPr>
        <w:spacing w:before="400"/>
      </w:pPr>
    </w:p>
    <w:p>
      <w:pPr>
        <w:pStyle w:val="Heading1"/>
      </w:pPr>
      <w:r>
        <w:t xml:space="preserve">7. Recommended Approach</w:t>
      </w:r>
    </w:p>
    <w:p>
      <w:pPr>
        <w:spacing w:after="120"/>
      </w:pPr>
      <w:r>
        <w:rPr>
          <w:b/>
          <w:bCs/>
          <w:sz w:val="22"/>
          <w:szCs w:val="22"/>
        </w:rPr>
        <w:t xml:space="preserve">Proceed in two lanes with a clear gate between them:</w:t>
      </w:r>
    </w:p>
    <w:p>
      <w:pPr>
        <w:spacing w:after="120"/>
      </w:pPr>
      <w:r>
        <w:rPr>
          <w:b/>
          <w:bCs/>
          <w:sz w:val="22"/>
          <w:szCs w:val="22"/>
        </w:rPr>
        <w:t xml:space="preserve">Lane 1 (Green Light — Ship Now): </w:t>
      </w:r>
      <w:r>
        <w:rPr>
          <w:sz w:val="22"/>
          <w:szCs w:val="22"/>
        </w:rPr>
        <w:t xml:space="preserve">Beta sign-up flow, OAuth onboarding, LP dashboard, and external billing (invoice merchants directly for LP software). This is GRO-123’s core scope and carries no money transmitter risk.</w:t>
      </w:r>
    </w:p>
    <w:p>
      <w:pPr>
        <w:spacing w:after="120"/>
      </w:pPr>
      <w:r>
        <w:rPr>
          <w:b/>
          <w:bCs/>
          <w:sz w:val="22"/>
          <w:szCs w:val="22"/>
        </w:rPr>
        <w:t xml:space="preserve">Lane 2 (Orange Gate — Requires Clearance): </w:t>
      </w:r>
      <w:r>
        <w:rPr>
          <w:sz w:val="22"/>
          <w:szCs w:val="22"/>
        </w:rPr>
        <w:t xml:space="preserve">LSP liquidity provision, Lightning routing, and Application Fee collection. This lane does not open until: (a) outside counsel delivers a formal opinion on non-custodial LSP classification, (b) entity structure is confirmed (single entity vs. separated LP/LSP entities), and (c) initial operating jurisdictions are selected based on state-level analysis.</w:t>
      </w:r>
    </w:p>
    <w:p>
      <w:pPr>
        <w:spacing w:after="200"/>
      </w:pPr>
      <w:r>
        <w:rPr>
          <w:sz w:val="22"/>
          <w:szCs w:val="22"/>
        </w:rPr>
        <w:t xml:space="preserve">The infrastructure work (GRO-93: BTC treasury, Lightning node setup) can proceed in parallel. The gate is on going live with merchant-facing liquidity channels, not on building the capability.</w:t>
      </w:r>
    </w:p>
    <w:p>
      <w:pPr>
        <w:pStyle w:val="Heading1"/>
      </w:pPr>
      <w:r>
        <w:t xml:space="preserve">8. Residual Risk</w:t>
      </w:r>
    </w:p>
    <w:p>
      <w:pPr>
        <w:spacing w:after="200"/>
      </w:pPr>
      <w:r>
        <w:rPr>
          <w:sz w:val="22"/>
          <w:szCs w:val="22"/>
        </w:rPr>
        <w:t xml:space="preserve">After implementing recommended mitigations (outside counsel opinion, entity separation, jurisdiction selection), residual risk is expected to drop to YELLOW (Medium Risk, Score 6–8). The non-custodial exemption argument is strong and supported by industry precedent, but regulatory uncertainty in this space means some residual risk will persist until FinCEN issues explicit Lightning guidance or until case law establishes clear precedent.</w:t>
      </w:r>
    </w:p>
    <w:p>
      <w:pPr>
        <w:pStyle w:val="Heading1"/>
      </w:pPr>
      <w:r>
        <w:t xml:space="preserve">9. Monitoring Plan</w:t>
      </w:r>
    </w:p>
    <w:p>
      <w:pPr>
        <w:pStyle w:val="ListParagraph"/>
        <w:numPr>
          <w:ilvl w:val="0"/>
          <w:numId w:val="2"/>
        </w:numPr>
      </w:pPr>
      <w:r>
        <w:rPr>
          <w:b/>
          <w:bCs/>
          <w:sz w:val="22"/>
          <w:szCs w:val="22"/>
        </w:rPr>
        <w:t xml:space="preserve">Monthly review </w:t>
      </w:r>
      <w:r>
        <w:rPr>
          <w:sz w:val="22"/>
          <w:szCs w:val="22"/>
        </w:rPr>
        <w:t xml:space="preserve">of FinCEN guidance, enforcement actions, and proposed rulemaking affecting Lightning/crypto</w:t>
      </w:r>
    </w:p>
    <w:p>
      <w:pPr>
        <w:pStyle w:val="ListParagraph"/>
        <w:numPr>
          <w:ilvl w:val="0"/>
          <w:numId w:val="2"/>
        </w:numPr>
      </w:pPr>
      <w:r>
        <w:rPr>
          <w:b/>
          <w:bCs/>
          <w:sz w:val="22"/>
          <w:szCs w:val="22"/>
        </w:rPr>
        <w:t xml:space="preserve">Quarterly review </w:t>
      </w:r>
      <w:r>
        <w:rPr>
          <w:sz w:val="22"/>
          <w:szCs w:val="22"/>
        </w:rPr>
        <w:t xml:space="preserve">of MTMA adoption status across states and any new state-level crypto regulations</w:t>
      </w:r>
    </w:p>
    <w:p>
      <w:pPr>
        <w:pStyle w:val="ListParagraph"/>
        <w:numPr>
          <w:ilvl w:val="0"/>
          <w:numId w:val="2"/>
        </w:numPr>
      </w:pPr>
      <w:r>
        <w:rPr>
          <w:b/>
          <w:bCs/>
          <w:sz w:val="22"/>
          <w:szCs w:val="22"/>
        </w:rPr>
        <w:t xml:space="preserve">Trigger events for re-assessment: </w:t>
      </w:r>
      <w:r>
        <w:rPr>
          <w:sz w:val="22"/>
          <w:szCs w:val="22"/>
        </w:rPr>
        <w:t xml:space="preserve">FinCEN enforcement action against any non-custodial LSP; new federal crypto legislation; state AG action against Lightning service providers; change in Square’s Developer Terms regarding Bitcoin/Lightning</w:t>
      </w:r>
    </w:p>
    <w:p>
      <w:pPr>
        <w:pStyle w:val="ListParagraph"/>
        <w:numPr>
          <w:ilvl w:val="0"/>
          <w:numId w:val="2"/>
        </w:numPr>
        <w:spacing w:after="200"/>
      </w:pPr>
      <w:r>
        <w:rPr>
          <w:b/>
          <w:bCs/>
          <w:sz w:val="22"/>
          <w:szCs w:val="22"/>
        </w:rPr>
        <w:t xml:space="preserve">Track peer companies: </w:t>
      </w:r>
      <w:r>
        <w:rPr>
          <w:sz w:val="22"/>
          <w:szCs w:val="22"/>
        </w:rPr>
        <w:t xml:space="preserve">Monitor ACINQ, Breez, Voltage, ZBD, and Lightspark for any regulatory disclosures, entity restructuring, or license filings that would signal a change in the compliance landscape</w:t>
      </w:r>
    </w:p>
    <w:p>
      <w:pPr>
        <w:pStyle w:val="Heading1"/>
      </w:pPr>
      <w:r>
        <w:t xml:space="preserve">10.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34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Deadline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Identify and engage outside counsel with crypto/money transmission expertise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March 15,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Research ACINQ/Breez/Voltage entity structures and legal frameworks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March 20,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 formal FinCEN MSB classification opinion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Outside Counsel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April 15,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State-by-state MTL analysis (TX, WY, FL priority)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Outside Counsel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April 15,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Entity structure recommendation (single vs. separated LP/LSP)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Outside Counsel + Syd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April 30,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Gate decision: approve/deny LSP go-live based on counsel opinion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Jeffe + Syd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 2026</w:t>
            </w:r>
          </w:p>
        </w:tc>
      </w:tr>
    </w:tbl>
    <w:p>
      <w:pPr>
        <w:spacing w:before="600"/>
      </w:pPr>
    </w:p>
    <w:p>
      <w:pPr>
        <w:pBdr>
          <w:top w:val="single" w:color="999999" w:sz="4" w:space="1"/>
        </w:pBdr>
        <w:spacing w:before="200"/>
      </w:pPr>
      <w:r>
        <w:rPr>
          <w:rFonts w:ascii="Arial" w:cs="Arial" w:eastAsia="Arial" w:hAnsi="Arial"/>
          <w:i/>
          <w:iCs/>
          <w:color w:val="666666"/>
          <w:sz w:val="18"/>
          <w:szCs w:val="18"/>
        </w:rPr>
        <w:t xml:space="preserve">Prepared by Syd (Legal Counsel) via ALX (Chief of Staff)</w:t>
      </w:r>
    </w:p>
    <w:p>
      <w:r>
        <w:rPr>
          <w:rFonts w:ascii="Arial" w:cs="Arial" w:eastAsia="Arial" w:hAnsi="Arial"/>
          <w:i/>
          <w:iCs/>
          <w:color w:val="666666"/>
          <w:sz w:val="18"/>
          <w:szCs w:val="18"/>
        </w:rPr>
        <w:t xml:space="preserve">GrowDirect Inc. | Canary LP | March 5,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GrowDirect Inc. </w:t>
    </w:r>
    <w:r>
      <w:rPr>
        <w:rFonts w:ascii="Arial" w:cs="Arial" w:eastAsia="Arial" w:hAnsi="Arial"/>
        <w:b/>
        <w:bCs/>
        <w:color w:val="CC0000"/>
        <w:sz w:val="16"/>
        <w:szCs w:val="16"/>
      </w:rPr>
      <w:t xml:space="preserve">CONFIDENTIAL</w:t>
    </w:r>
    <w:r>
      <w:rPr>
        <w:rFonts w:ascii="Arial" w:cs="Arial" w:eastAsia="Arial" w:hAnsi="Arial"/>
        <w:color w:val="999999"/>
        <w:sz w:val="16"/>
        <w:szCs w:val="16"/>
      </w:rPr>
      <w:t xml:space="preserv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D3E" w:sz="6" w:space="1"/>
      </w:pBdr>
      <w:tabs>
        <w:tab w:val="right" w:pos="9026"/>
      </w:tabs>
    </w:pPr>
    <w:r>
      <w:rPr>
        <w:rFonts w:ascii="Arial" w:cs="Arial" w:eastAsia="Arial" w:hAnsi="Arial"/>
        <w:b/>
        <w:bCs/>
        <w:color w:val="1B4D3E"/>
        <w:sz w:val="16"/>
        <w:szCs w:val="16"/>
      </w:rPr>
      <w:t xml:space="preserve">CANARY LP</w:t>
    </w:r>
    <w:r>
      <w:rPr>
        <w:rFonts w:ascii="Arial" w:cs="Arial" w:eastAsia="Arial" w:hAnsi="Arial"/>
        <w:color w:val="999999"/>
        <w:sz w:val="16"/>
        <w:szCs w:val="16"/>
      </w:rPr>
      <w:t xml:space="preserve">	LEGAL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3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D3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2026-03-05T05:35:50.138Z</dcterms:created>
  <dcterms:modified xsi:type="dcterms:W3CDTF">2026-03-05T05:35:50.138Z</dcterms:modified>
</cp:coreProperties>
</file>

<file path=docProps/custom.xml><?xml version="1.0" encoding="utf-8"?>
<Properties xmlns="http://schemas.openxmlformats.org/officeDocument/2006/custom-properties" xmlns:vt="http://schemas.openxmlformats.org/officeDocument/2006/docPropsVTypes"/>
</file>