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36"/>
          <w:szCs w:val="36"/>
        </w:rPr>
        <w:t xml:space="preserve">LEGAL MEMORANDUM</w:t>
      </w:r>
    </w:p>
    <w:p>
      <w:pPr>
        <w:spacing w:after="240"/>
        <w:jc w:val="center"/>
      </w:pPr>
      <w:r>
        <w:rPr>
          <w:rFonts w:ascii="Arial" w:cs="Arial" w:eastAsia="Arial" w:hAnsi="Arial"/>
          <w:color w:val="555555"/>
          <w:sz w:val="24"/>
          <w:szCs w:val="24"/>
        </w:rPr>
        <w:t xml:space="preserve">Square Developer Terms of Service — Data Storage &amp; Retention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Issue: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GRO-19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Syd (Legal Counsel) via ALX (Chief of Staff)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 — Internal Use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Syd legal sign-off required before implementation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References: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Developer Terms (eff. Feb 15, 2025), Square General Terms, Square Data Processing Terms, PCI DSS v4.0, CRDM v1.0</w:t>
            </w:r>
          </w:p>
        </w:tc>
      </w:tr>
    </w:tbl>
    <w:p>
      <w:pPr>
        <w:spacing w:after="200" w:before="200"/>
      </w:pP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memo analyzes the Square Developer Terms of Service as they apply to GrowDirect’s Canary LP product, specifically addressing: (a) what transaction data GrowDirect may store from Square API responses and webhooks, (b) Square’s own data retention policies and what merchants can expect Square to maintain, (c) the distinction between raw data and aggregated metrics under the terms, and (d) recommended design patterns for CRDM compliance.</w:t>
      </w:r>
    </w:p>
    <w:p>
      <w:pPr>
        <w:spacing w:after="120"/>
      </w:pPr>
      <w:r>
        <w:rPr>
          <w:rFonts w:ascii="Arial" w:cs="Arial" w:eastAsia="Arial" w:hAnsi="Arial"/>
          <w:sz w:val="22"/>
          <w:szCs w:val="22"/>
        </w:rPr>
        <w:t xml:space="preserve">The core finding is that Square’s Developer Terms permit storage of non-sensitive transaction data received via API and webhooks, but impose strict prohibitions on storing cardholder data (PAN, CVV, expiration, magnetic stripe/chip data). GrowDirect’s CRDM architecture—which stores the full webhook payload in a JSONB column—requires a conditional scrub layer to strip PCI-regulated fields before persistence.</w:t>
      </w:r>
    </w:p>
    <w:p>
      <w:pPr>
        <w:pStyle w:val="Heading1"/>
      </w:pPr>
      <w:r>
        <w:rPr>
          <w:rFonts w:ascii="Arial" w:cs="Arial" w:eastAsia="Arial" w:hAnsi="Arial"/>
        </w:rPr>
        <w:t xml:space="preserve">2. Square Developer Terms — Key Provisions</w:t>
      </w:r>
    </w:p>
    <w:p>
      <w:pPr>
        <w:pStyle w:val="Heading2"/>
      </w:pPr>
      <w:r>
        <w:rPr>
          <w:rFonts w:ascii="Arial" w:cs="Arial" w:eastAsia="Arial" w:hAnsi="Arial"/>
        </w:rPr>
        <w:t xml:space="preserve">2.1 Permitted Use of Developer Tools</w:t>
      </w:r>
    </w:p>
    <w:p>
      <w:pPr>
        <w:spacing w:after="120"/>
      </w:pPr>
      <w:r>
        <w:rPr>
          <w:rFonts w:ascii="Arial" w:cs="Arial" w:eastAsia="Arial" w:hAnsi="Arial"/>
          <w:sz w:val="22"/>
          <w:szCs w:val="22"/>
        </w:rPr>
        <w:t xml:space="preserve">The Square Developer Terms (effective February 15, 2025, for all Square Sellers) govern all use of Square APIs, SDKs, webhooks, and sandbox environments. Developers must use and access Developer Tools in accordance with Square’s documentation and instructions.</w:t>
      </w:r>
    </w:p>
    <w:p>
      <w:pPr>
        <w:spacing w:after="120"/>
      </w:pPr>
      <w:r>
        <w:rPr>
          <w:rFonts w:ascii="Arial" w:cs="Arial" w:eastAsia="Arial" w:hAnsi="Arial"/>
          <w:sz w:val="22"/>
          <w:szCs w:val="22"/>
        </w:rPr>
        <w:t xml:space="preserve">Key obligation: Developers agree to use data received from the Square API solely for the purpose of providing their application’s services to the merchant who authorized access. GrowDirect’s use case—loss prevention analytics for the authorizing merchant—falls squarely within this permitted purpose.</w:t>
      </w:r>
    </w:p>
    <w:p>
      <w:pPr>
        <w:pStyle w:val="Heading2"/>
      </w:pPr>
      <w:r>
        <w:rPr>
          <w:rFonts w:ascii="Arial" w:cs="Arial" w:eastAsia="Arial" w:hAnsi="Arial"/>
        </w:rPr>
        <w:t xml:space="preserve">2.2 Cardholder Data — Absolute Prohibition</w:t>
      </w:r>
    </w:p>
    <w:p>
      <w:pPr>
        <w:spacing w:after="120"/>
      </w:pPr>
      <w:r>
        <w:rPr>
          <w:rFonts w:ascii="Arial" w:cs="Arial" w:eastAsia="Arial" w:hAnsi="Arial"/>
          <w:sz w:val="22"/>
          <w:szCs w:val="22"/>
        </w:rPr>
        <w:t xml:space="preserve">The terms are unambiguous: developers will “in no circumstances store, process or transmit any cardholder’s account number, expiration date, or CVV2 except as described in [Square’s] documentation.” Additionally, developers “may not disclose card information to any third party, other than in connection with processing [a] card transaction requested by your customer under the Service and in a manner consistent with PCI DSS and applicable law.”</w:t>
      </w:r>
    </w:p>
    <w:p>
      <w:pPr>
        <w:spacing w:after="120"/>
      </w:pPr>
      <w:r>
        <w:rPr>
          <w:rFonts w:ascii="Arial" w:cs="Arial" w:eastAsia="Arial" w:hAnsi="Arial"/>
          <w:b/>
          <w:bCs/>
          <w:sz w:val="22"/>
          <w:szCs w:val="22"/>
        </w:rPr>
        <w:t xml:space="preserve">Impact on CRDM: </w:t>
      </w:r>
      <w:r>
        <w:rPr>
          <w:rFonts w:ascii="Arial" w:cs="Arial" w:eastAsia="Arial" w:hAnsi="Arial"/>
          <w:sz w:val="22"/>
          <w:szCs w:val="22"/>
        </w:rPr>
        <w:t xml:space="preserve">The transactions.payload JSONB column (CRDM Pattern 3) currently stores the full Square webhook payload. If any webhook event includes card_details.card.last_4, card_details.card.exp_month, card_details.card.exp_year, or any PAN fragment, these must be scrubbed before INSERT. The CRDM already extracts canonical columns from the payload—the scrub layer operates between webhook receipt and payload persistence.</w:t>
      </w:r>
    </w:p>
    <w:p>
      <w:pPr>
        <w:pStyle w:val="Heading2"/>
      </w:pPr>
      <w:r>
        <w:rPr>
          <w:rFonts w:ascii="Arial" w:cs="Arial" w:eastAsia="Arial" w:hAnsi="Arial"/>
        </w:rPr>
        <w:t xml:space="preserve">2.3 PCI DSS Compliance Obligation</w:t>
      </w:r>
    </w:p>
    <w:p>
      <w:pPr>
        <w:spacing w:after="120"/>
      </w:pPr>
      <w:r>
        <w:rPr>
          <w:rFonts w:ascii="Arial" w:cs="Arial" w:eastAsia="Arial" w:hAnsi="Arial"/>
          <w:sz w:val="22"/>
          <w:szCs w:val="22"/>
        </w:rPr>
        <w:t xml:space="preserve">Developers must be compliant with the Payment Card Industry Data Security Standard (PCI DSS) and the Payment Application Data Security Standard (PA-DSS), and must promptly provide Square with documentation evidencing this compliance upon request.</w:t>
      </w:r>
    </w:p>
    <w:p>
      <w:pPr>
        <w:spacing w:after="120"/>
      </w:pPr>
      <w:r>
        <w:rPr>
          <w:rFonts w:ascii="Arial" w:cs="Arial" w:eastAsia="Arial" w:hAnsi="Arial"/>
          <w:sz w:val="22"/>
          <w:szCs w:val="22"/>
        </w:rPr>
        <w:t xml:space="preserve">Merchants who use Square for all storage, processing, and transmission of payment card data do not need to separately validate PCI compliance for those transactions. However, GrowDirect—as a developer storing webhook payloads—takes on its own PCI scope. The conditional scrub design is the primary mechanism for minimizing this scope.</w:t>
      </w:r>
    </w:p>
    <w:p>
      <w:pPr>
        <w:pStyle w:val="Heading2"/>
      </w:pPr>
      <w:r>
        <w:rPr>
          <w:rFonts w:ascii="Arial" w:cs="Arial" w:eastAsia="Arial" w:hAnsi="Arial"/>
        </w:rPr>
        <w:t xml:space="preserve">2.4 Data Retention and Deletion</w:t>
      </w:r>
    </w:p>
    <w:p>
      <w:pPr>
        <w:spacing w:after="120"/>
      </w:pPr>
      <w:r>
        <w:rPr>
          <w:rFonts w:ascii="Arial" w:cs="Arial" w:eastAsia="Arial" w:hAnsi="Arial"/>
          <w:sz w:val="22"/>
          <w:szCs w:val="22"/>
        </w:rPr>
        <w:t xml:space="preserve">Square’s General Terms state that Square “reserves the right to delete Personal Information stored pursuant to these General Terms in the ordinary course of business, pursuant to our retention schedules.” Square also states it has “no obligation to store, maintain, or provide you a copy of any Content that you or others provide when using the Service.”</w:t>
      </w:r>
    </w:p>
    <w:p>
      <w:pPr>
        <w:spacing w:after="120"/>
      </w:pPr>
      <w:r>
        <w:rPr>
          <w:rFonts w:ascii="Arial" w:cs="Arial" w:eastAsia="Arial" w:hAnsi="Arial"/>
          <w:sz w:val="22"/>
          <w:szCs w:val="22"/>
        </w:rPr>
        <w:t xml:space="preserve">At the end of Services, upon request, Square will “securely destroy or return such Personal Data” and “delete existing copies unless Applicable Laws require storage.”</w:t>
      </w:r>
    </w:p>
    <w:p>
      <w:pPr>
        <w:spacing w:after="120"/>
      </w:pPr>
      <w:r>
        <w:rPr>
          <w:rFonts w:ascii="Arial" w:cs="Arial" w:eastAsia="Arial" w:hAnsi="Arial"/>
          <w:b/>
          <w:bCs/>
          <w:sz w:val="22"/>
          <w:szCs w:val="22"/>
        </w:rPr>
        <w:t xml:space="preserve">Implication: </w:t>
      </w:r>
      <w:r>
        <w:rPr>
          <w:rFonts w:ascii="Arial" w:cs="Arial" w:eastAsia="Arial" w:hAnsi="Arial"/>
          <w:sz w:val="22"/>
          <w:szCs w:val="22"/>
        </w:rPr>
        <w:t xml:space="preserve">Square does not guarantee indefinite retention of merchant transaction data. GrowDirect’s value proposition—permanent, Bitcoin-anchored receipt verification—is specifically designed to fill this gap. The CRDM’s append-only transaction log (canary_sales) provides the merchant with a durable record that survives Square’s own retention lifecycle.</w:t>
      </w:r>
    </w:p>
    <w:p>
      <w:pPr>
        <w:pStyle w:val="Heading1"/>
      </w:pPr>
      <w:r>
        <w:rPr>
          <w:rFonts w:ascii="Arial" w:cs="Arial" w:eastAsia="Arial" w:hAnsi="Arial"/>
        </w:rPr>
        <w:t xml:space="preserve">3. What Square Retains vs. What Square Allows</w:t>
      </w:r>
    </w:p>
    <w:p>
      <w:pPr>
        <w:pStyle w:val="Heading2"/>
      </w:pPr>
      <w:r>
        <w:rPr>
          <w:rFonts w:ascii="Arial" w:cs="Arial" w:eastAsia="Arial" w:hAnsi="Arial"/>
        </w:rPr>
        <w:t xml:space="preserve">3.1 Square’s Own Retention</w:t>
      </w:r>
    </w:p>
    <w:p>
      <w:pPr>
        <w:spacing w:after="120"/>
      </w:pPr>
      <w:r>
        <w:rPr>
          <w:rFonts w:ascii="Arial" w:cs="Arial" w:eastAsia="Arial" w:hAnsi="Arial"/>
          <w:sz w:val="22"/>
          <w:szCs w:val="22"/>
        </w:rPr>
        <w:t xml:space="preserve">Square’s published policies and developer documentation indicate the following retention behaviors:</w:t>
      </w:r>
    </w:p>
    <w:p>
      <w:pPr>
        <w:pStyle w:val="ListParagraph"/>
        <w:numPr>
          <w:ilvl w:val="0"/>
          <w:numId w:val="2"/>
        </w:numPr>
        <w:spacing w:after="80"/>
      </w:pPr>
      <w:r>
        <w:rPr>
          <w:rFonts w:ascii="Arial" w:cs="Arial" w:eastAsia="Arial" w:hAnsi="Arial"/>
          <w:sz w:val="22"/>
          <w:szCs w:val="22"/>
        </w:rPr>
        <w:t xml:space="preserve">Webhook event notifications: Square API events can be searched within a 28-day window via the Events API. After 28 days, event metadata may not be retrievable via API.</w:t>
      </w:r>
    </w:p>
    <w:p>
      <w:pPr>
        <w:pStyle w:val="ListParagraph"/>
        <w:numPr>
          <w:ilvl w:val="0"/>
          <w:numId w:val="2"/>
        </w:numPr>
        <w:spacing w:after="80"/>
      </w:pPr>
      <w:r>
        <w:rPr>
          <w:rFonts w:ascii="Arial" w:cs="Arial" w:eastAsia="Arial" w:hAnsi="Arial"/>
          <w:sz w:val="22"/>
          <w:szCs w:val="22"/>
        </w:rPr>
        <w:t xml:space="preserve">Transaction records: Square maintains transaction history accessible to merchants through the Square Dashboard and Transactions/Orders API. No published maximum retention period, but Square reserves the right to delete per its retention schedules.</w:t>
      </w:r>
    </w:p>
    <w:p>
      <w:pPr>
        <w:pStyle w:val="ListParagraph"/>
        <w:numPr>
          <w:ilvl w:val="0"/>
          <w:numId w:val="2"/>
        </w:numPr>
        <w:spacing w:after="80"/>
      </w:pPr>
      <w:r>
        <w:rPr>
          <w:rFonts w:ascii="Arial" w:cs="Arial" w:eastAsia="Arial" w:hAnsi="Arial"/>
          <w:sz w:val="22"/>
          <w:szCs w:val="22"/>
        </w:rPr>
        <w:t xml:space="preserve">Payment card data: Square stores tokenized card data (card fingerprints, last-4 digits) for payment processing. Full PAN is never exposed to developers.</w:t>
      </w:r>
    </w:p>
    <w:p>
      <w:pPr>
        <w:pStyle w:val="ListParagraph"/>
        <w:numPr>
          <w:ilvl w:val="0"/>
          <w:numId w:val="2"/>
        </w:numPr>
        <w:spacing w:after="80"/>
      </w:pPr>
      <w:r>
        <w:rPr>
          <w:rFonts w:ascii="Arial" w:cs="Arial" w:eastAsia="Arial" w:hAnsi="Arial"/>
          <w:sz w:val="22"/>
          <w:szCs w:val="22"/>
        </w:rPr>
        <w:t xml:space="preserve">Customer profiles: Retained until merchant or customer requests deletion, subject to legal holds.</w:t>
      </w:r>
    </w:p>
    <w:p>
      <w:pPr>
        <w:pStyle w:val="ListParagraph"/>
        <w:numPr>
          <w:ilvl w:val="0"/>
          <w:numId w:val="2"/>
        </w:numPr>
        <w:spacing w:after="80"/>
      </w:pPr>
      <w:r>
        <w:rPr>
          <w:rFonts w:ascii="Arial" w:cs="Arial" w:eastAsia="Arial" w:hAnsi="Arial"/>
          <w:sz w:val="22"/>
          <w:szCs w:val="22"/>
        </w:rPr>
        <w:t xml:space="preserve">Sandbox data: Square states that sandbox data may be periodically purged without notice.</w:t>
      </w:r>
    </w:p>
    <w:p>
      <w:pPr>
        <w:pStyle w:val="Heading2"/>
      </w:pPr>
      <w:r>
        <w:rPr>
          <w:rFonts w:ascii="Arial" w:cs="Arial" w:eastAsia="Arial" w:hAnsi="Arial"/>
        </w:rPr>
        <w:t xml:space="preserve">3.2 What GrowDirect May Store</w:t>
      </w:r>
    </w:p>
    <w:p>
      <w:pPr>
        <w:spacing w:after="120"/>
      </w:pPr>
      <w:r>
        <w:rPr>
          <w:rFonts w:ascii="Arial" w:cs="Arial" w:eastAsia="Arial" w:hAnsi="Arial"/>
          <w:sz w:val="22"/>
          <w:szCs w:val="22"/>
        </w:rPr>
        <w:t xml:space="preserve">Based on the Developer Terms and PCI DSS requirements, GrowDirect may store the following categories of data received from Square webhooks and API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Category</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Raw Storage?</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Aggregated?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metadata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ID, timestamp, location_id, total, currency, status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item details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name, quantity, price, discounts, modifiers, SKU</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Tender/payment 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method (cash, card, gift card), tender amount, tip</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ID, name, role, timecard punches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 counts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counts, adjustments, variance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Cash drawer events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close, paid in/out, float, expected vs. actual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 details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 ID, reason, amount, linked order</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PII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email, phone, address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0"/>
                <w:szCs w:val="20"/>
              </w:rPr>
              <w:t xml:space="preserve">CONDITIONAL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(anonymized)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Cardholder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CVV, expiration, mag stripe, chip data</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NEVER</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NEVER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last-4 / fingerprint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card.last_4, card.fingerprint (tokenized)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0"/>
                <w:szCs w:val="20"/>
              </w:rPr>
              <w:t xml:space="preserve">REVIEW</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120" w:before="120"/>
      </w:pPr>
    </w:p>
    <w:p>
      <w:pPr>
        <w:pStyle w:val="Heading2"/>
      </w:pPr>
      <w:r>
        <w:rPr>
          <w:rFonts w:ascii="Arial" w:cs="Arial" w:eastAsia="Arial" w:hAnsi="Arial"/>
        </w:rPr>
        <w:t xml:space="preserve">3.3 Raw Data vs. Aggregated Metrics</w:t>
      </w:r>
    </w:p>
    <w:p>
      <w:pPr>
        <w:spacing w:after="120"/>
      </w:pPr>
      <w:r>
        <w:rPr>
          <w:rFonts w:ascii="Arial" w:cs="Arial" w:eastAsia="Arial" w:hAnsi="Arial"/>
          <w:sz w:val="22"/>
          <w:szCs w:val="22"/>
        </w:rPr>
        <w:t xml:space="preserve">The distinction matters for both compliance and the RaaS business model:</w:t>
      </w:r>
    </w:p>
    <w:p>
      <w:pPr>
        <w:pStyle w:val="ListParagraph"/>
        <w:numPr>
          <w:ilvl w:val="0"/>
          <w:numId w:val="2"/>
        </w:numPr>
        <w:spacing w:after="80"/>
      </w:pPr>
      <w:r>
        <w:rPr>
          <w:rFonts w:ascii="Arial" w:cs="Arial" w:eastAsia="Arial" w:hAnsi="Arial"/>
          <w:sz w:val="22"/>
          <w:szCs w:val="22"/>
        </w:rPr>
        <w:t xml:space="preserve">Raw data: The full webhook payload minus PCI-regulated fields. Stored in canary_sales.transactions.payload (JSONB). This is the evidentiary record. It is what gets hashed, batched, inscribed, and verified via the L402 gate. Raw storage is permitted for all non-cardholder fields.</w:t>
      </w:r>
    </w:p>
    <w:p>
      <w:pPr>
        <w:pStyle w:val="ListParagraph"/>
        <w:numPr>
          <w:ilvl w:val="0"/>
          <w:numId w:val="2"/>
        </w:numPr>
        <w:spacing w:after="80"/>
      </w:pPr>
      <w:r>
        <w:rPr>
          <w:rFonts w:ascii="Arial" w:cs="Arial" w:eastAsia="Arial" w:hAnsi="Arial"/>
          <w:sz w:val="22"/>
          <w:szCs w:val="22"/>
        </w:rPr>
        <w:t xml:space="preserve">Aggregated metrics: Pre-computed rollups in canary_metrics (daily_metrics, hourly_metrics, employee_metrics, product_metrics). These contain no PII, no cardholder data, and no raw payloads. They are fully permitted and carry the lowest compliance burden.</w:t>
      </w:r>
    </w:p>
    <w:p>
      <w:pPr>
        <w:pStyle w:val="ListParagraph"/>
        <w:numPr>
          <w:ilvl w:val="0"/>
          <w:numId w:val="2"/>
        </w:numPr>
        <w:spacing w:after="80"/>
      </w:pPr>
      <w:r>
        <w:rPr>
          <w:rFonts w:ascii="Arial" w:cs="Arial" w:eastAsia="Arial" w:hAnsi="Arial"/>
          <w:sz w:val="22"/>
          <w:szCs w:val="22"/>
        </w:rPr>
        <w:t xml:space="preserve">Derived analytics: Chirp detection scores, ML risk assessments, and anomaly baselines. These operate on canonical columns extracted from raw data. They are GrowDirect’s proprietary analytical layer and are not subject to Square’s data restrictions (they are GrowDirect’s IP, not Square’s data).</w:t>
      </w:r>
    </w:p>
    <w:p>
      <w:pPr>
        <w:pStyle w:val="Heading1"/>
      </w:pPr>
      <w:r>
        <w:rPr>
          <w:rFonts w:ascii="Arial" w:cs="Arial" w:eastAsia="Arial" w:hAnsi="Arial"/>
        </w:rPr>
        <w:t xml:space="preserve">4. Recommended: Conditional Scrub Layer</w:t>
      </w:r>
    </w:p>
    <w:p>
      <w:pPr>
        <w:spacing w:after="120"/>
      </w:pPr>
      <w:r>
        <w:rPr>
          <w:rFonts w:ascii="Arial" w:cs="Arial" w:eastAsia="Arial" w:hAnsi="Arial"/>
          <w:sz w:val="22"/>
          <w:szCs w:val="22"/>
        </w:rPr>
        <w:t xml:space="preserve">The CRDM (Pattern 3: JSONB + Extracted Columns) stores the full webhook payload for auditability. To comply with the Developer Terms and minimize PCI scope, Jeremy should implement a scrub layer in the ingestion pipeline:</w:t>
      </w:r>
    </w:p>
    <w:p>
      <w:pPr>
        <w:pStyle w:val="Heading2"/>
      </w:pPr>
      <w:r>
        <w:rPr>
          <w:rFonts w:ascii="Arial" w:cs="Arial" w:eastAsia="Arial" w:hAnsi="Arial"/>
        </w:rPr>
        <w:t xml:space="preserve">4.1 Architecture</w:t>
      </w:r>
    </w:p>
    <w:p>
      <w:pPr>
        <w:spacing w:after="120"/>
      </w:pPr>
      <w:r>
        <w:rPr>
          <w:rFonts w:ascii="Arial" w:cs="Arial" w:eastAsia="Arial" w:hAnsi="Arial"/>
          <w:sz w:val="22"/>
          <w:szCs w:val="22"/>
        </w:rPr>
        <w:t xml:space="preserve">The scrub operates between the webhook receiver and the canary_sales INSERT:</w:t>
      </w:r>
    </w:p>
    <w:p>
      <w:pPr>
        <w:spacing w:after="120"/>
      </w:pPr>
      <w:r>
        <w:rPr>
          <w:rFonts w:ascii="Courier New" w:cs="Courier New" w:eastAsia="Courier New" w:hAnsi="Courier New"/>
          <w:sz w:val="20"/>
          <w:szCs w:val="20"/>
        </w:rPr>
        <w:t xml:space="preserve">Square Webhook → HMAC Verify → SCRUB LAYER → Canonical Extract → INSERT (canary_sales)</w:t>
      </w:r>
    </w:p>
    <w:p>
      <w:pPr>
        <w:pStyle w:val="Heading2"/>
      </w:pPr>
      <w:r>
        <w:rPr>
          <w:rFonts w:ascii="Arial" w:cs="Arial" w:eastAsia="Arial" w:hAnsi="Arial"/>
        </w:rPr>
        <w:t xml:space="preserve">4.2 Scrub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Path in Payload</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card_details.card.exp_month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 (set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PCI DSS / ToS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card_details.card.exp_year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 (set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PCI DSS / ToS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card_details.card.last_4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RETAIN (review with Syd)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 correlation 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card_details.card.fingerprint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RETAIN (tokenized, not PAN)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 duplicate detection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card_details.card.bin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PCI sensitive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raw PAN / CVV / track data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 (should never appear in webhook, but defense-in-depth)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PCI DSS absolute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customer.email_address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RETAIN (merchant-authorized PII)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alerts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customer.phone_number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RETAIN (merchant-authorized PII)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lookup</w:t>
            </w:r>
          </w:p>
        </w:tc>
      </w:tr>
    </w:tbl>
    <w:p>
      <w:pPr>
        <w:spacing w:after="120" w:before="120"/>
      </w:pPr>
    </w:p>
    <w:p>
      <w:pPr>
        <w:pStyle w:val="Heading2"/>
      </w:pPr>
      <w:r>
        <w:rPr>
          <w:rFonts w:ascii="Arial" w:cs="Arial" w:eastAsia="Arial" w:hAnsi="Arial"/>
        </w:rPr>
        <w:t xml:space="preserve">4.3 Implementation Notes for Jeremy</w:t>
      </w:r>
    </w:p>
    <w:p>
      <w:pPr>
        <w:pStyle w:val="ListParagraph"/>
        <w:numPr>
          <w:ilvl w:val="0"/>
          <w:numId w:val="2"/>
        </w:numPr>
        <w:spacing w:after="80"/>
      </w:pPr>
      <w:r>
        <w:rPr>
          <w:rFonts w:ascii="Arial" w:cs="Arial" w:eastAsia="Arial" w:hAnsi="Arial"/>
          <w:sz w:val="22"/>
          <w:szCs w:val="22"/>
        </w:rPr>
        <w:t xml:space="preserve">The scrub must run before the JSONB payload is written to canary_sales.transactions.payload. The extracted canonical columns (amount, currency, status, etc.) are unaffected—they come from safe fields.</w:t>
      </w:r>
    </w:p>
    <w:p>
      <w:pPr>
        <w:pStyle w:val="ListParagraph"/>
        <w:numPr>
          <w:ilvl w:val="0"/>
          <w:numId w:val="2"/>
        </w:numPr>
        <w:spacing w:after="80"/>
      </w:pPr>
      <w:r>
        <w:rPr>
          <w:rFonts w:ascii="Arial" w:cs="Arial" w:eastAsia="Arial" w:hAnsi="Arial"/>
          <w:sz w:val="22"/>
          <w:szCs w:val="22"/>
        </w:rPr>
        <w:t xml:space="preserve">Add a scrub_version column to canary_sales.transactions to track which scrub ruleset was applied. This allows retroactive audit if rules change.</w:t>
      </w:r>
    </w:p>
    <w:p>
      <w:pPr>
        <w:pStyle w:val="ListParagraph"/>
        <w:numPr>
          <w:ilvl w:val="0"/>
          <w:numId w:val="2"/>
        </w:numPr>
        <w:spacing w:after="80"/>
      </w:pPr>
      <w:r>
        <w:rPr>
          <w:rFonts w:ascii="Arial" w:cs="Arial" w:eastAsia="Arial" w:hAnsi="Arial"/>
          <w:sz w:val="22"/>
          <w:szCs w:val="22"/>
        </w:rPr>
        <w:t xml:space="preserve">Log every scrub action to canary_sales.ingestion_log with the field path stripped and a hash of the original value (for debugging, not recovery).</w:t>
      </w:r>
    </w:p>
    <w:p>
      <w:pPr>
        <w:pStyle w:val="ListParagraph"/>
        <w:numPr>
          <w:ilvl w:val="0"/>
          <w:numId w:val="2"/>
        </w:numPr>
        <w:spacing w:after="80"/>
      </w:pPr>
      <w:r>
        <w:rPr>
          <w:rFonts w:ascii="Arial" w:cs="Arial" w:eastAsia="Arial" w:hAnsi="Arial"/>
          <w:sz w:val="22"/>
          <w:szCs w:val="22"/>
        </w:rPr>
        <w:t xml:space="preserve">For the card.last_4 field: this is LP-critical (duplicate card detection across transactions). Syd needs to rule on whether last-4 digits constitute “cardholder data” under the Developer Terms. PCI DSS does not classify last-4 as sensitive, but Square’s terms are broader.</w:t>
      </w:r>
    </w:p>
    <w:p>
      <w:pPr>
        <w:pStyle w:val="ListParagraph"/>
        <w:numPr>
          <w:ilvl w:val="0"/>
          <w:numId w:val="2"/>
        </w:numPr>
        <w:spacing w:after="80"/>
      </w:pPr>
      <w:r>
        <w:rPr>
          <w:rFonts w:ascii="Arial" w:cs="Arial" w:eastAsia="Arial" w:hAnsi="Arial"/>
          <w:sz w:val="22"/>
          <w:szCs w:val="22"/>
        </w:rPr>
        <w:t xml:space="preserve">Defense-in-depth: add a PostgreSQL CHECK constraint or trigger that rejects any payload containing a regex match for 13-19 digit sequences (potential PAN). Belt and suspenders.</w:t>
      </w:r>
    </w:p>
    <w:p>
      <w:pPr>
        <w:pStyle w:val="Heading1"/>
      </w:pPr>
      <w:r>
        <w:rPr>
          <w:rFonts w:ascii="Arial" w:cs="Arial" w:eastAsia="Arial" w:hAnsi="Arial"/>
        </w:rPr>
        <w:t xml:space="preserve">5.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1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PCI Scope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Storing full webhook payloads with card fields expands PCI scope to GrowDirect infrastructure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scrub layer strips all PCI-regulated fields pre-INSERT</w:t>
            </w:r>
          </w:p>
        </w:tc>
        <w:tc>
          <w:tcPr>
            <w:tcW w:type="dxa" w:w="13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0"/>
                <w:szCs w:val="20"/>
                <w:shd/>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ToS Violation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Storing cardholder data beyond what documentation permits triggers potential API revocation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Scrub + audit log + Syd sign-off on card.last_4 retention</w:t>
            </w:r>
          </w:p>
        </w:tc>
        <w:tc>
          <w:tcPr>
            <w:tcW w:type="dxa" w:w="13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0"/>
                <w:szCs w:val="20"/>
                <w:shd/>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Retention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may delete source data per retention schedule; GrowDirect copy becomes orphaned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not a bug: Canary provides durable record the merchant owns</w:t>
            </w:r>
          </w:p>
        </w:tc>
        <w:tc>
          <w:tcPr>
            <w:tcW w:type="dxa" w:w="13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sz w:val="20"/>
                <w:szCs w:val="20"/>
                <w:shd/>
              </w:rPr>
              <w:t xml:space="preserv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PII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Storing customer PII (name, email, phone) creates CCPA/GDPR obligations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policy, merchant consent flow, deletion API endpoint</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shd/>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Revocation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can revoke API access at any time per Developer Terms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 schema (CRDM) is POS-agnostic; migration path to other POS APIs is architectural</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shd/>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RaaS Exposure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RaaS API consumers may query merchant data without merchant consent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L402 gate + .jeffe namespace authorization + merchant opt-in for external queries</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shd/>
              </w:rPr>
              <w:t xml:space="preserve">MEDIUM</w:t>
            </w:r>
          </w:p>
        </w:tc>
      </w:tr>
    </w:tbl>
    <w:p>
      <w:pPr>
        <w:spacing w:after="200" w:before="200"/>
      </w:pPr>
    </w:p>
    <w:p>
      <w:pPr>
        <w:pStyle w:val="Heading1"/>
      </w:pPr>
      <w:r>
        <w:rPr>
          <w:rFonts w:ascii="Arial" w:cs="Arial" w:eastAsia="Arial" w:hAnsi="Arial"/>
        </w:rPr>
        <w:t xml:space="preserve">6. Open Questions for Legal Review</w:t>
      </w:r>
    </w:p>
    <w:p>
      <w:pPr>
        <w:pStyle w:val="ListParagraph"/>
        <w:numPr>
          <w:ilvl w:val="0"/>
          <w:numId w:val="3"/>
        </w:numPr>
        <w:spacing w:after="100"/>
      </w:pPr>
      <w:r>
        <w:rPr>
          <w:rFonts w:ascii="Arial" w:cs="Arial" w:eastAsia="Arial" w:hAnsi="Arial"/>
          <w:sz w:val="22"/>
          <w:szCs w:val="22"/>
        </w:rPr>
        <w:t xml:space="preserve">Does card.last_4 constitute “cardholder data” under the Square Developer Terms? PCI DSS says no; the ToS language (“card information”) is ambiguous. This determines whether Canary can use last-4 for duplicate card detection across transactions.</w:t>
      </w:r>
    </w:p>
    <w:p>
      <w:pPr>
        <w:pStyle w:val="ListParagraph"/>
        <w:numPr>
          <w:ilvl w:val="0"/>
          <w:numId w:val="3"/>
        </w:numPr>
        <w:spacing w:after="100"/>
      </w:pPr>
      <w:r>
        <w:rPr>
          <w:rFonts w:ascii="Arial" w:cs="Arial" w:eastAsia="Arial" w:hAnsi="Arial"/>
          <w:sz w:val="22"/>
          <w:szCs w:val="22"/>
        </w:rPr>
        <w:t xml:space="preserve">Does storing the scrubbed webhook payload (with PCI fields removed) constitute “processing cardholder data” for PCI scope purposes? If the payload never contained PAN/CVV (Square tokenizes before webhook delivery), our PCI exposure may be minimal.</w:t>
      </w:r>
    </w:p>
    <w:p>
      <w:pPr>
        <w:pStyle w:val="ListParagraph"/>
        <w:numPr>
          <w:ilvl w:val="0"/>
          <w:numId w:val="3"/>
        </w:numPr>
        <w:spacing w:after="100"/>
      </w:pPr>
      <w:r>
        <w:rPr>
          <w:rFonts w:ascii="Arial" w:cs="Arial" w:eastAsia="Arial" w:hAnsi="Arial"/>
          <w:sz w:val="22"/>
          <w:szCs w:val="22"/>
        </w:rPr>
        <w:t xml:space="preserve">What is GrowDirect’s data retention obligation under CCPA for customer PII received via Square webhooks? Specifically: if a consumer requests deletion, must GrowDirect delete from both canary_app and the append-only canary_sales ledger?</w:t>
      </w:r>
    </w:p>
    <w:p>
      <w:pPr>
        <w:pStyle w:val="ListParagraph"/>
        <w:numPr>
          <w:ilvl w:val="0"/>
          <w:numId w:val="3"/>
        </w:numPr>
        <w:spacing w:after="100"/>
      </w:pPr>
      <w:r>
        <w:rPr>
          <w:rFonts w:ascii="Arial" w:cs="Arial" w:eastAsia="Arial" w:hAnsi="Arial"/>
          <w:sz w:val="22"/>
          <w:szCs w:val="22"/>
        </w:rPr>
        <w:t xml:space="preserve">Does the RaaS API (POST /verify, GET /receipt) constitute a “notary service,” “money transmitter,” or “data processor” under applicable regulations? (PhD flagged this in B-077 routing notes for Syd.)</w:t>
      </w:r>
    </w:p>
    <w:p>
      <w:pPr>
        <w:pStyle w:val="ListParagraph"/>
        <w:numPr>
          <w:ilvl w:val="0"/>
          <w:numId w:val="3"/>
        </w:numPr>
        <w:spacing w:after="100"/>
      </w:pPr>
      <w:r>
        <w:rPr>
          <w:rFonts w:ascii="Arial" w:cs="Arial" w:eastAsia="Arial" w:hAnsi="Arial"/>
          <w:sz w:val="22"/>
          <w:szCs w:val="22"/>
        </w:rPr>
        <w:t xml:space="preserve">Square’s terms allow revocation of API access. Should GrowDirect’s merchant agreement include a clause disclaiming liability for data loss caused by Square API revocation?</w:t>
      </w:r>
    </w:p>
    <w:p>
      <w:pPr>
        <w:pStyle w:val="ListParagraph"/>
        <w:numPr>
          <w:ilvl w:val="0"/>
          <w:numId w:val="3"/>
        </w:numPr>
        <w:spacing w:after="100"/>
      </w:pPr>
      <w:r>
        <w:rPr>
          <w:rFonts w:ascii="Arial" w:cs="Arial" w:eastAsia="Arial" w:hAnsi="Arial"/>
          <w:sz w:val="22"/>
          <w:szCs w:val="22"/>
        </w:rPr>
        <w:t xml:space="preserve">For Bitcoin-inscribed receipts: once a receipt hash is on-chain, it cannot be deleted. How does this interact with CCPA/GDPR right-to-deletion if the hash is derived from a transaction containing customer PII? (The hash itself is not PII, but the source data is.)</w:t>
      </w:r>
    </w:p>
    <w:p>
      <w:pPr>
        <w:pStyle w:val="Heading1"/>
      </w:pPr>
      <w:r>
        <w:rPr>
          <w:rFonts w:ascii="Arial" w:cs="Arial" w:eastAsia="Arial" w:hAnsi="Arial"/>
        </w:rPr>
        <w:t xml:space="preserve">7. Recommendations</w:t>
      </w:r>
    </w:p>
    <w:p>
      <w:pPr>
        <w:pStyle w:val="ListParagraph"/>
        <w:numPr>
          <w:ilvl w:val="0"/>
          <w:numId w:val="3"/>
        </w:numPr>
        <w:spacing w:after="100"/>
      </w:pPr>
      <w:r>
        <w:rPr>
          <w:rFonts w:ascii="Arial" w:cs="Arial" w:eastAsia="Arial" w:hAnsi="Arial"/>
          <w:b/>
          <w:bCs/>
          <w:sz w:val="22"/>
          <w:szCs w:val="22"/>
        </w:rPr>
        <w:t xml:space="preserve">Implement the conditional scrub layer immediately. </w:t>
      </w:r>
      <w:r>
        <w:rPr>
          <w:rFonts w:ascii="Arial" w:cs="Arial" w:eastAsia="Arial" w:hAnsi="Arial"/>
          <w:sz w:val="22"/>
          <w:szCs w:val="22"/>
        </w:rPr>
        <w:t xml:space="preserve">This is a pre-launch requirement. No webhook payload should be persisted without scrubbing. Jeremy to implement; Jim to test with production-like payloads.</w:t>
      </w:r>
    </w:p>
    <w:p>
      <w:pPr>
        <w:pStyle w:val="ListParagraph"/>
        <w:numPr>
          <w:ilvl w:val="0"/>
          <w:numId w:val="3"/>
        </w:numPr>
        <w:spacing w:after="100"/>
      </w:pPr>
      <w:r>
        <w:rPr>
          <w:rFonts w:ascii="Arial" w:cs="Arial" w:eastAsia="Arial" w:hAnsi="Arial"/>
          <w:b/>
          <w:bCs/>
          <w:sz w:val="22"/>
          <w:szCs w:val="22"/>
        </w:rPr>
        <w:t xml:space="preserve">Add scrub_version tracking to canary_sales.transactions. </w:t>
      </w:r>
      <w:r>
        <w:rPr>
          <w:rFonts w:ascii="Arial" w:cs="Arial" w:eastAsia="Arial" w:hAnsi="Arial"/>
          <w:sz w:val="22"/>
          <w:szCs w:val="22"/>
        </w:rPr>
        <w:t xml:space="preserve">Enables retroactive audit and rule evolution.</w:t>
      </w:r>
    </w:p>
    <w:p>
      <w:pPr>
        <w:pStyle w:val="ListParagraph"/>
        <w:numPr>
          <w:ilvl w:val="0"/>
          <w:numId w:val="3"/>
        </w:numPr>
        <w:spacing w:after="100"/>
      </w:pPr>
      <w:r>
        <w:rPr>
          <w:rFonts w:ascii="Arial" w:cs="Arial" w:eastAsia="Arial" w:hAnsi="Arial"/>
          <w:b/>
          <w:bCs/>
          <w:sz w:val="22"/>
          <w:szCs w:val="22"/>
        </w:rPr>
        <w:t xml:space="preserve">Hold card.last_4 retention pending Syd’s ruling. </w:t>
      </w:r>
      <w:r>
        <w:rPr>
          <w:rFonts w:ascii="Arial" w:cs="Arial" w:eastAsia="Arial" w:hAnsi="Arial"/>
          <w:sz w:val="22"/>
          <w:szCs w:val="22"/>
        </w:rPr>
        <w:t xml:space="preserve">Default to STRIP until legal confirms retention is permitted.</w:t>
      </w:r>
    </w:p>
    <w:p>
      <w:pPr>
        <w:pStyle w:val="ListParagraph"/>
        <w:numPr>
          <w:ilvl w:val="0"/>
          <w:numId w:val="3"/>
        </w:numPr>
        <w:spacing w:after="100"/>
      </w:pPr>
      <w:r>
        <w:rPr>
          <w:rFonts w:ascii="Arial" w:cs="Arial" w:eastAsia="Arial" w:hAnsi="Arial"/>
          <w:b/>
          <w:bCs/>
          <w:sz w:val="22"/>
          <w:szCs w:val="22"/>
        </w:rPr>
        <w:t xml:space="preserve">Draft GrowDirect privacy policy and data processing addendum. </w:t>
      </w:r>
      <w:r>
        <w:rPr>
          <w:rFonts w:ascii="Arial" w:cs="Arial" w:eastAsia="Arial" w:hAnsi="Arial"/>
          <w:sz w:val="22"/>
          <w:szCs w:val="22"/>
        </w:rPr>
        <w:t xml:space="preserve">Required for both Square Marketplace certification and CCPA compliance. Syd to lead.</w:t>
      </w:r>
    </w:p>
    <w:p>
      <w:pPr>
        <w:pStyle w:val="ListParagraph"/>
        <w:numPr>
          <w:ilvl w:val="0"/>
          <w:numId w:val="3"/>
        </w:numPr>
        <w:spacing w:after="100"/>
      </w:pPr>
      <w:r>
        <w:rPr>
          <w:rFonts w:ascii="Arial" w:cs="Arial" w:eastAsia="Arial" w:hAnsi="Arial"/>
          <w:b/>
          <w:bCs/>
          <w:sz w:val="22"/>
          <w:szCs w:val="22"/>
        </w:rPr>
        <w:t xml:space="preserve">Position GrowDirect’s data retention as a feature, not a risk. </w:t>
      </w:r>
      <w:r>
        <w:rPr>
          <w:rFonts w:ascii="Arial" w:cs="Arial" w:eastAsia="Arial" w:hAnsi="Arial"/>
          <w:sz w:val="22"/>
          <w:szCs w:val="22"/>
        </w:rPr>
        <w:t xml:space="preserve">Square’s 28-day event window and discretionary deletion policy means merchants lose access to their own history. Canary’s append-only ledger with Bitcoin anchoring is the durable alternative.</w:t>
      </w:r>
    </w:p>
    <w:p>
      <w:pPr>
        <w:spacing w:before="300"/>
      </w:pPr>
    </w:p>
    <w:p>
      <w:pPr>
        <w:pBdr>
          <w:top w:val="single" w:color="CCCCCC" w:sz="4" w:space="1"/>
        </w:pBdr>
        <w:spacing w:before="200"/>
      </w:pPr>
      <w:r>
        <w:rPr>
          <w:rFonts w:ascii="Arial" w:cs="Arial" w:eastAsia="Arial" w:hAnsi="Arial"/>
          <w:i/>
          <w:iCs/>
          <w:color w:val="999999"/>
          <w:sz w:val="18"/>
          <w:szCs w:val="18"/>
        </w:rPr>
        <w:t xml:space="preserve">Prepared by ALX (Chief of Staff) for Syd (Legal Counsel) review.</w:t>
      </w:r>
    </w:p>
    <w:p>
      <w:r>
        <w:rPr>
          <w:rFonts w:ascii="Arial" w:cs="Arial" w:eastAsia="Arial" w:hAnsi="Arial"/>
          <w:i/>
          <w:iCs/>
          <w:color w:val="999999"/>
          <w:sz w:val="18"/>
          <w:szCs w:val="18"/>
        </w:rPr>
        <w:t xml:space="preserve">GRO-19 | March 2, 2026 | Canary LP — GrowDirect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GrowDirect — GRO-19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i/>
        <w:iCs/>
        <w:color w:val="999999"/>
        <w:sz w:val="16"/>
        <w:szCs w:val="16"/>
      </w:rPr>
      <w:t xml:space="preserve">CONFIDENTIAL — ATTORNEY WORK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2026-03-02T21:59:58.923Z</dcterms:created>
  <dcterms:modified xsi:type="dcterms:W3CDTF">2026-03-02T21:59:58.923Z</dcterms:modified>
</cp:coreProperties>
</file>

<file path=docProps/custom.xml><?xml version="1.0" encoding="utf-8"?>
<Properties xmlns="http://schemas.openxmlformats.org/officeDocument/2006/custom-properties" xmlns:vt="http://schemas.openxmlformats.org/officeDocument/2006/docPropsVTypes"/>
</file>