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Wyoming DAO LLC Filing Checklist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GrowDirect  —  February 2026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Complete each step in order. Do not skip ahead. Each step depends on the one before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160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Cost /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Engage attorney as registered agent. Confirm the firm handles Wyoming DAO LLC specifically. Ask for their registered agent fee and what they need to proceed.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1–2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 Articles of Organization. Wyoming Secretary of State online portal. Select DAO LLC. Designate smart contract supplement. List registered agent from Step 1.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~$100 / same-day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Execute Operating Agreement. Geoff signs as sole member. Smart contract reference in Exhibit B. Attorney reviews if desired.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Obtain EIN. IRS online (irs.gov). Apply as single-member LLC. Immediate confirmation.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 / 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business bank account. Bring: Articles of Organization, Operating Agreement, EIN confirmation, government 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1–2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Fund treasury. Transfer F2Pool BTC from personal wallet to GrowDirect company wallet. Record transaction hash.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~10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 smart contract. Jeremy wires L402 gate. On-chain address added to Exhibit B of Operating Agreement. Attorney notified.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Jeremy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6</w:t>
            </w:r>
          </w:p>
        </w:tc>
      </w:tr>
    </w:tbl>
    <w:p>
      <w:pPr>
        <w:spacing w:after="120" w:before="360"/>
      </w:pP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Notes: </w:t>
      </w:r>
      <w:r>
        <w:rPr>
          <w:rFonts w:ascii="Calibri" w:cs="Calibri" w:eastAsia="Calibri" w:hAnsi="Calibri"/>
          <w:sz w:val="22"/>
          <w:szCs w:val="22"/>
        </w:rPr>
        <w:t xml:space="preserve">Steps 1–5 can be completed within a single week. Step 6 requires the F2Pool reward to be available. Step 7 is gated behind Jeremy’s Sprint 6 delivery.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</w:pPr>
    <w:r>
      <w:rPr>
        <w:rFonts w:ascii="Calibri" w:cs="Calibri" w:eastAsia="Calibri" w:hAnsi="Calibri"/>
        <w:b/>
        <w:bCs/>
        <w:color w:val="333333"/>
        <w:sz w:val="20"/>
        <w:szCs w:val="20"/>
      </w:rPr>
      <w:t xml:space="preserve">GROWDIRECT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2026-02-26T23:55:56.261Z</dcterms:created>
  <dcterms:modified xsi:type="dcterms:W3CDTF">2026-02-26T23:55:56.261Z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