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IP PROTECTION STRATEGY
&amp; RISK ASSESSMENT</w:t>
      </w:r>
    </w:p>
    <w:p>
      <w:pPr>
        <w:spacing w:after="200"/>
        <w:jc w:val="center"/>
      </w:pPr>
      <w:r>
        <w:rPr>
          <w:rFonts w:ascii="Calibri" w:cs="Calibri" w:eastAsia="Calibri" w:hAnsi="Calibri"/>
          <w:i/>
          <w:iCs/>
          <w:color w:val="666666"/>
          <w:sz w:val="24"/>
          <w:szCs w:val="24"/>
        </w:rPr>
        <w:t xml:space="preserve">Protecting a Novel SaaS Built on Open-Source Components + Proprietary Innovation</w:t>
      </w:r>
    </w:p>
    <w:p>
      <w:pPr>
        <w:pBdr>
          <w:bottom w:val="single" w:color="E0E0E0" w:sz="4" w:space="4"/>
        </w:pBdr>
        <w:spacing w:after="200" w:before="200"/>
      </w:pPr>
    </w:p>
    <w:p>
      <w:pPr>
        <w:spacing w:after="60"/>
        <w:jc w:val="center"/>
      </w:pPr>
      <w:r>
        <w:rPr>
          <w:b/>
          <w:bCs/>
          <w:color w:val="666666"/>
          <w:sz w:val="20"/>
          <w:szCs w:val="20"/>
        </w:rPr>
        <w:t xml:space="preserve">To: </w:t>
      </w:r>
      <w:r>
        <w:rPr>
          <w:color w:val="666666"/>
          <w:sz w:val="20"/>
          <w:szCs w:val="20"/>
        </w:rPr>
        <w:t xml:space="preserve">Jeffe (CEO/Founder)</w:t>
      </w:r>
    </w:p>
    <w:p>
      <w:pPr>
        <w:spacing w:after="60"/>
        <w:jc w:val="center"/>
      </w:pPr>
      <w:r>
        <w:rPr>
          <w:b/>
          <w:bCs/>
          <w:color w:val="666666"/>
          <w:sz w:val="20"/>
          <w:szCs w:val="20"/>
        </w:rPr>
        <w:t xml:space="preserve">From: </w:t>
      </w:r>
      <w:r>
        <w:rPr>
          <w:color w:val="666666"/>
          <w:sz w:val="20"/>
          <w:szCs w:val="20"/>
        </w:rPr>
        <w:t xml:space="preserve">Syd (Legal Counsel)</w:t>
      </w:r>
    </w:p>
    <w:p>
      <w:pPr>
        <w:spacing w:after="60"/>
        <w:jc w:val="center"/>
      </w:pPr>
      <w:r>
        <w:rPr>
          <w:b/>
          <w:bCs/>
          <w:color w:val="666666"/>
          <w:sz w:val="20"/>
          <w:szCs w:val="20"/>
        </w:rPr>
        <w:t xml:space="preserve">Date: </w:t>
      </w:r>
      <w:r>
        <w:rPr>
          <w:color w:val="666666"/>
          <w:sz w:val="20"/>
          <w:szCs w:val="20"/>
        </w:rPr>
        <w:t xml:space="preserve">February 25, 2026</w:t>
      </w:r>
    </w:p>
    <w:p>
      <w:pPr>
        <w:spacing w:after="60"/>
        <w:jc w:val="center"/>
      </w:pPr>
      <w:r>
        <w:rPr>
          <w:b/>
          <w:bCs/>
          <w:color w:val="666666"/>
          <w:sz w:val="20"/>
          <w:szCs w:val="20"/>
        </w:rPr>
        <w:t xml:space="preserve">Classification: </w:t>
      </w:r>
      <w:r>
        <w:rPr>
          <w:color w:val="666666"/>
          <w:sz w:val="20"/>
          <w:szCs w:val="20"/>
        </w:rPr>
        <w:t xml:space="preserve">Attorney-Client Privileged — Do Not Distribute</w:t>
      </w:r>
    </w:p>
    <w:p>
      <w:pPr>
        <w:spacing w:after="60"/>
        <w:jc w:val="center"/>
      </w:pPr>
      <w:r>
        <w:rPr>
          <w:b/>
          <w:bCs/>
          <w:color w:val="666666"/>
          <w:sz w:val="20"/>
          <w:szCs w:val="20"/>
        </w:rPr>
        <w:t xml:space="preserve">Version: </w:t>
      </w:r>
      <w:r>
        <w:rPr>
          <w:color w:val="666666"/>
          <w:sz w:val="20"/>
          <w:szCs w:val="20"/>
        </w:rPr>
        <w:t xml:space="preserve">1.0</w:t>
      </w:r>
    </w:p>
    <w:p>
      <w:pPr>
        <w:spacing w:before="400"/>
      </w:pPr>
    </w:p>
    <w:p>
      <w:pPr>
        <w:jc w:val="center"/>
      </w:pPr>
      <w:r>
        <w:rPr>
          <w:rFonts w:ascii="Calibri" w:cs="Calibri" w:eastAsia="Calibri" w:hAnsi="Calibri"/>
          <w:b/>
          <w:bCs/>
          <w:color w:val="CC0000"/>
          <w:sz w:val="20"/>
          <w:szCs w:val="20"/>
        </w:rPr>
        <w:t xml:space="preserve">CONFIDENTIAL</w:t>
      </w:r>
    </w:p>
    <w:p>
      <w:r>
        <w:br w:type="page"/>
      </w:r>
    </w:p>
    <w:p>
      <w:pPr>
        <w:pStyle w:val="Heading1"/>
      </w:pPr>
      <w:r>
        <w:t xml:space="preserve">EXECUTIVE SUMMARY</w:t>
      </w:r>
    </w:p>
    <w:p>
      <w:pPr>
        <w:spacing w:after="120"/>
      </w:pPr>
      <w:r>
        <w:t xml:space="preserve">Canary is not a single patentable invention. It is a system of systems — a novel architecture that strings together open-source components, proprietary industry knowledge, and cutting-edge payment infrastructure (Bitcoin/Lightning micropayments) into something that does not exist anywhere on the market today. The IP value is in the combination, the data model, the detection logic, the business model, and the implementation — not in any single ingredient.</w:t>
      </w:r>
    </w:p>
    <w:p>
      <w:pPr>
        <w:spacing w:after="120"/>
      </w:pPr>
      <w:r>
        <w:t xml:space="preserve">This document lays out: (1) what exactly is protectable, (2) how to protect it, (3) the risks if we don’t act, and (4) how to defend against anyone claiming we infringe on their IP.</w:t>
      </w:r>
    </w:p>
    <w:p>
      <w:pPr>
        <w:spacing w:after="120"/>
      </w:pPr>
      <w:r>
        <w:rPr>
          <w:b/>
          <w:bCs/>
        </w:rPr>
        <w:t xml:space="preserve">Bottom line: </w:t>
      </w:r>
      <w:r>
        <w:t xml:space="preserve">We have strong protectable IP. But software IP protection is a layered game — no single mechanism is sufficient. We need trade secrets + copyright + trademark + contractual protections working together, with a patent strategy evaluated for the Lightning micropayment fee architecture specifically.</w:t>
      </w:r>
    </w:p>
    <w:p>
      <w:pPr>
        <w:pBdr>
          <w:bottom w:val="single" w:color="E0E0E0" w:sz="4" w:space="4"/>
        </w:pBdr>
        <w:spacing w:after="200" w:before="200"/>
      </w:pPr>
    </w:p>
    <w:p>
      <w:pPr>
        <w:pStyle w:val="Heading1"/>
      </w:pPr>
      <w:r>
        <w:t xml:space="preserve">PART 1: WHAT IS PROTECTABLE</w:t>
      </w:r>
    </w:p>
    <w:p>
      <w:pPr>
        <w:pStyle w:val="Heading2"/>
      </w:pPr>
      <w:r>
        <w:t xml:space="preserve">1.1 The Novel Combination (Trade Secret + Copyright)</w:t>
      </w:r>
    </w:p>
    <w:p>
      <w:pPr>
        <w:spacing w:after="120"/>
      </w:pPr>
      <w:r>
        <w:t xml:space="preserve">Canary’s value is not Flask, not PostgreSQL, not Valkey, not Airflow. Those are ingredients anyone can buy. The value is:</w:t>
      </w:r>
    </w:p>
    <w:p>
      <w:pPr>
        <w:spacing w:after="120"/>
      </w:pPr>
      <w:r>
        <w:rPr>
          <w:b/>
          <w:bCs/>
        </w:rPr>
        <w:t xml:space="preserve">The CRDM (Canary Retail Data Model)</w:t>
      </w:r>
      <w:r>
        <w:t xml:space="preserve"> — 7 canonical data sources, 35 tables, 22 Chirp detection rules covering ~85% of retail loss prevention scenarios. This data model was designed from decades of industry experience and represents a novel mapping of enterprise-grade loss prevention logic into a small-merchant SaaS architecture.</w:t>
      </w:r>
    </w:p>
    <w:p>
      <w:pPr>
        <w:spacing w:after="120"/>
      </w:pPr>
      <w:r>
        <w:rPr>
          <w:b/>
          <w:bCs/>
        </w:rPr>
        <w:t xml:space="preserve">The Detection Engine (Chirp Rules)</w:t>
      </w:r>
      <w:r>
        <w:t xml:space="preserve"> — 22 detection rules (expanding to 42+) that encode proprietary retail loss prevention knowledge. Each rule embodies specific domain expertise about how cash variance, refund patterns, void patterns, timecard anomalies, and inventory discrepancies manifest in real-world retail operations.</w:t>
      </w:r>
    </w:p>
    <w:p>
      <w:pPr>
        <w:spacing w:after="120"/>
      </w:pPr>
      <w:r>
        <w:rPr>
          <w:b/>
          <w:bCs/>
        </w:rPr>
        <w:t xml:space="preserve">The Guided Companion / Wizard Engine</w:t>
      </w:r>
      <w:r>
        <w:t xml:space="preserve"> — A 6-step wizard pattern that turns complex loss prevention analysis into something a coffee shop owner can walk through in under 8 minutes on their phone.</w:t>
      </w:r>
    </w:p>
    <w:p>
      <w:pPr>
        <w:spacing w:after="120"/>
      </w:pPr>
      <w:r>
        <w:rPr>
          <w:b/>
          <w:bCs/>
        </w:rPr>
        <w:t xml:space="preserve">The Three-Database Immutability Architecture</w:t>
      </w:r>
      <w:r>
        <w:t xml:space="preserve"> — canary_app, canary_sales, canary_system with 22 immutability triggers, hash chain verification, and INSERT-only audit trails. This creates forensic-grade evidence preservation in a SaaS context.</w:t>
      </w:r>
    </w:p>
    <w:p>
      <w:pPr>
        <w:pStyle w:val="Heading2"/>
      </w:pPr>
      <w:r>
        <w:t xml:space="preserve">1.2 The Lightning/BTC Pay Micropayment Architecture (Potentially Patentable)</w:t>
      </w:r>
    </w:p>
    <w:p>
      <w:pPr>
        <w:spacing w:after="120"/>
      </w:pPr>
      <w:r>
        <w:t xml:space="preserve">The architecture where Canary automates fee generation based on detected loss prevention events, fees are collected via Lightning Network micropayments, the merchant’s subscription includes a micropayment channel that meters actual usage, and BTC Pay Server handles the payment infrastructure natively.</w:t>
      </w:r>
    </w:p>
    <w:p>
      <w:pPr>
        <w:spacing w:after="120"/>
      </w:pPr>
      <w:r>
        <w:rPr>
          <w:b/>
          <w:bCs/>
        </w:rPr>
        <w:t xml:space="preserve">This is cutting-edge and arguably novel in the loss prevention SaaS space.</w:t>
      </w:r>
      <w:r>
        <w:t xml:space="preserve"> Tying automated anomaly detection to real-time micropayment fee generation via Lightning is not something we’ve found in any existing product — not in LP, not in broader retail SaaS, not in fintech.</w:t>
      </w:r>
    </w:p>
    <w:p>
      <w:pPr>
        <w:spacing w:after="120"/>
      </w:pPr>
      <w:r>
        <w:rPr>
          <w:b/>
          <w:bCs/>
        </w:rPr>
        <w:t xml:space="preserve">This specific architecture may be patent-eligible</w:t>
      </w:r>
      <w:r>
        <w:t xml:space="preserve"> as a business method / software system patent (post-Alice, this requires careful drafting focused on the technical implementation, not the abstract concept).</w:t>
      </w:r>
    </w:p>
    <w:p>
      <w:pPr>
        <w:pStyle w:val="Heading2"/>
      </w:pPr>
      <w:r>
        <w:t xml:space="preserve">1.3 The Industry Knowledge Layer (Trade Secret)</w:t>
      </w:r>
    </w:p>
    <w:p>
      <w:pPr>
        <w:spacing w:after="120"/>
      </w:pPr>
      <w:r>
        <w:t xml:space="preserve">The enterprise LP knowledge that informs Canary’s rules — derived from real-world experience with major retailers, pharmacy diversion detection, exception-based reporting systems — is classic trade secret material. This is 20+ years of LP domain expertise encoded into software.</w:t>
      </w:r>
    </w:p>
    <w:p>
      <w:pPr>
        <w:pBdr>
          <w:bottom w:val="single" w:color="E0E0E0" w:sz="4" w:space="4"/>
        </w:pBdr>
        <w:spacing w:after="200" w:before="200"/>
      </w:pPr>
    </w:p>
    <w:p>
      <w:pPr>
        <w:pStyle w:val="Heading1"/>
      </w:pPr>
      <w:r>
        <w:t xml:space="preserve">PART 2: HOW TO PROTECT IT</w:t>
      </w:r>
    </w:p>
    <w:p>
      <w:pPr>
        <w:pStyle w:val="Heading2"/>
      </w:pPr>
      <w:r>
        <w:t xml:space="preserve">Protection Layer 1: Trade Secrets (IMMEDIATE)</w:t>
      </w:r>
    </w:p>
    <w:p>
      <w:pPr>
        <w:spacing w:after="120"/>
      </w:pPr>
      <w:r>
        <w:t xml:space="preserve">Trade secret protection is the backbone of software IP for a SaaS company. Unlike patents (expensive, slow, public disclosure) or copyright (protects expression, not ideas), trade secrets protect the actual know-how, algorithms, and business logic — indefinitely, as long as you maintain secrecy.</w:t>
      </w:r>
    </w:p>
    <w:p>
      <w:pPr>
        <w:pStyle w:val="Heading3"/>
      </w:pPr>
      <w:r>
        <w:t xml:space="preserve">Trade Secret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Asset</w:t>
            </w:r>
          </w:p>
        </w:tc>
        <w:tc>
          <w:tcPr>
            <w:tcW w:type="dxa" w:w="28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Category</w:t>
            </w:r>
          </w:p>
        </w:tc>
        <w:tc>
          <w:tcPr>
            <w:tcW w:type="dxa" w:w="33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Current Protection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CRDM v1.0 data model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Architecture / Schema design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Confidential repo (Canary_IP)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Chirp rule logic + thresholds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Detection algorithms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code (private repo)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Wizard engine UX flow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Business process design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code + design specs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Immutability trigger architecture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Security architecture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Source code + blueprints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Lightning micropayment fee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Business model implementation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Design phase (not yet coded)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Enterprise LP rule derivation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Industry know-how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Archive + CRDM lineage docs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Seed data patterns + scenarios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Test methodology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QA library</w:t>
            </w:r>
          </w:p>
        </w:tc>
      </w:tr>
    </w:tbl>
    <w:p>
      <w:pPr>
        <w:spacing w:before="60"/>
      </w:pPr>
    </w:p>
    <w:p>
      <w:pPr>
        <w:spacing w:after="120"/>
      </w:pPr>
      <w:r>
        <w:rPr>
          <w:b/>
          <w:bCs/>
        </w:rPr>
        <w:t xml:space="preserve">Required actions to maintain trade secret status:</w:t>
      </w:r>
    </w:p>
    <w:p>
      <w:pPr>
        <w:pStyle w:val="ListParagraph"/>
        <w:numPr>
          <w:ilvl w:val="0"/>
          <w:numId w:val="2"/>
        </w:numPr>
        <w:spacing w:after="60"/>
      </w:pPr>
      <w:r>
        <w:t xml:space="preserve">Identify and mark every document containing trade secret material “CONFIDENTIAL — TRADE SECRET”</w:t>
      </w:r>
    </w:p>
    <w:p>
      <w:pPr>
        <w:pStyle w:val="ListParagraph"/>
        <w:numPr>
          <w:ilvl w:val="0"/>
          <w:numId w:val="2"/>
        </w:numPr>
        <w:spacing w:after="60"/>
      </w:pPr>
      <w:r>
        <w:t xml:space="preserve">Restrict access on a need-to-know basis; audit access logs</w:t>
      </w:r>
    </w:p>
    <w:p>
      <w:pPr>
        <w:pStyle w:val="ListParagraph"/>
        <w:numPr>
          <w:ilvl w:val="0"/>
          <w:numId w:val="2"/>
        </w:numPr>
        <w:spacing w:after="60"/>
      </w:pPr>
      <w:r>
        <w:t xml:space="preserve">Contractual protection: NDA and/or confidentiality clause for every person who touches confidential material</w:t>
      </w:r>
    </w:p>
    <w:p>
      <w:pPr>
        <w:pStyle w:val="ListParagraph"/>
        <w:numPr>
          <w:ilvl w:val="0"/>
          <w:numId w:val="2"/>
        </w:numPr>
        <w:spacing w:after="60"/>
      </w:pPr>
      <w:r>
        <w:t xml:space="preserve">Technical measures: Private repos, encrypted storage, access controls, audit trails</w:t>
      </w:r>
    </w:p>
    <w:p>
      <w:pPr>
        <w:pStyle w:val="ListParagraph"/>
        <w:numPr>
          <w:ilvl w:val="0"/>
          <w:numId w:val="2"/>
        </w:numPr>
        <w:spacing w:after="60"/>
      </w:pPr>
      <w:r>
        <w:t xml:space="preserve">Documentation of creation: Maintain clear records of when each piece of IP was created, by whom, and the creative process</w:t>
      </w:r>
    </w:p>
    <w:p>
      <w:pPr>
        <w:pStyle w:val="Heading2"/>
      </w:pPr>
      <w:r>
        <w:t xml:space="preserve">Protection Layer 2: Copyright (AUTOMATIC)</w:t>
      </w:r>
    </w:p>
    <w:p>
      <w:pPr>
        <w:spacing w:after="120"/>
      </w:pPr>
      <w:r>
        <w:t xml:space="preserve">Copyright protects the expression of our software — the actual code, the UI designs, the documentation. It does NOT protect ideas, algorithms, or methods.</w:t>
      </w:r>
    </w:p>
    <w:p>
      <w:pPr>
        <w:spacing w:after="120"/>
      </w:pPr>
      <w:r>
        <w:rPr>
          <w:b/>
          <w:bCs/>
        </w:rPr>
        <w:t xml:space="preserve">Recommended actions:</w:t>
      </w:r>
    </w:p>
    <w:p>
      <w:pPr>
        <w:pStyle w:val="ListParagraph"/>
        <w:numPr>
          <w:ilvl w:val="0"/>
          <w:numId w:val="2"/>
        </w:numPr>
        <w:spacing w:after="60"/>
      </w:pPr>
      <w:r>
        <w:t xml:space="preserve">Register copyright on the core codebase before public release ($65–85 per registration)</w:t>
      </w:r>
    </w:p>
    <w:p>
      <w:pPr>
        <w:pStyle w:val="ListParagraph"/>
        <w:numPr>
          <w:ilvl w:val="0"/>
          <w:numId w:val="2"/>
        </w:numPr>
        <w:spacing w:after="60"/>
      </w:pPr>
      <w:r>
        <w:t xml:space="preserve">Register copyright on key documentation — the CRDM spec, the Companion Guides</w:t>
      </w:r>
    </w:p>
    <w:p>
      <w:pPr>
        <w:pStyle w:val="ListParagraph"/>
        <w:numPr>
          <w:ilvl w:val="0"/>
          <w:numId w:val="2"/>
        </w:numPr>
        <w:spacing w:after="60"/>
      </w:pPr>
      <w:r>
        <w:t xml:space="preserve">Include copyright notices in all source files: “Copyright (c) 2026 GrowDirect LLC. All rights reserved.”</w:t>
      </w:r>
    </w:p>
    <w:p>
      <w:pPr>
        <w:pStyle w:val="Heading2"/>
      </w:pPr>
      <w:r>
        <w:t xml:space="preserve">Protection Layer 3: Trademark (BRAND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c>
          <w:tcPr>
            <w:tcW w:type="dxa" w:w="2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Mark</w:t>
            </w:r>
          </w:p>
        </w:tc>
        <w:tc>
          <w:tcPr>
            <w:tcW w:type="dxa" w:w="26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Type</w:t>
            </w:r>
          </w:p>
        </w:tc>
        <w:tc>
          <w:tcPr>
            <w:tcW w:type="dxa" w:w="1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Priority</w:t>
            </w:r>
          </w:p>
        </w:tc>
        <w:tc>
          <w:tcPr>
            <w:tcW w:type="dxa" w:w="33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GrowDirect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Company name (wordmark)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Should file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Canary (for LP software)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Product name (wordmark)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Search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Chirp (detection alerts)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Feature name (wordmark)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 after launch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Today’s 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Feature 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Descriptive; may face resistance</w:t>
            </w:r>
          </w:p>
        </w:tc>
      </w:tr>
    </w:tbl>
    <w:p>
      <w:pPr>
        <w:spacing w:before="60"/>
      </w:pPr>
    </w:p>
    <w:p>
      <w:pPr>
        <w:spacing w:after="120"/>
      </w:pPr>
      <w:r>
        <w:rPr>
          <w:b/>
          <w:bCs/>
        </w:rPr>
        <w:t xml:space="preserve">Action: </w:t>
      </w:r>
      <w:r>
        <w:t xml:space="preserve">Conduct trademark search for “Canary” in Class 42/9 before investing in brand. File intent-to-use (ITU) applications for GrowDirect and Canary before launch (~$250–350 per class per mark).</w:t>
      </w:r>
    </w:p>
    <w:p>
      <w:pPr>
        <w:pStyle w:val="Heading2"/>
      </w:pPr>
      <w:r>
        <w:t xml:space="preserve">Protection Layer 4: Patent Strategy (EVALUATE)</w:t>
      </w:r>
    </w:p>
    <w:p>
      <w:pPr>
        <w:spacing w:after="120"/>
      </w:pPr>
      <w:r>
        <w:t xml:space="preserve">The Lightning micropayment fee architecture is the strongest patent candidate:</w:t>
      </w:r>
    </w:p>
    <w:p>
      <w:pPr>
        <w:spacing w:after="120"/>
      </w:pPr>
      <w:r>
        <w:rPr>
          <w:b/>
          <w:bCs/>
          <w:i/>
          <w:iCs/>
        </w:rPr>
        <w:t xml:space="preserve">Technical claim: </w:t>
      </w:r>
      <w:r>
        <w:t xml:space="preserve">A system and method for automated micro-fee generation in a loss prevention SaaS platform, wherein detected anomaly events trigger real-time micropayment charges via Lightning Network payment channels, with fee amounts determined by anomaly severity classification and merchant subscription tier.</w:t>
      </w:r>
    </w:p>
    <w:p>
      <w:pPr>
        <w:spacing w:after="120"/>
      </w:pPr>
      <w:r>
        <w:rPr>
          <w:b/>
          <w:bCs/>
        </w:rPr>
        <w:t xml:space="preserve">Recommended: </w:t>
      </w:r>
      <w:r>
        <w:t xml:space="preserve">File provisional patent application ($320 filing fee) to establish priority date. Do NOT publish or demo the Lightning fee architecture publicly before filing. Consult a fintech/software patent attorney.</w:t>
      </w:r>
    </w:p>
    <w:p>
      <w:pPr>
        <w:pStyle w:val="Heading2"/>
      </w:pPr>
      <w:r>
        <w:t xml:space="preserve">Protection Layer 5: Open-Source Licensing Strategy (CRITICAL)</w:t>
      </w:r>
    </w:p>
    <w:p>
      <w:pPr>
        <w:spacing w:after="120"/>
      </w:pPr>
      <w:r>
        <w:rPr>
          <w:b/>
          <w:bCs/>
        </w:rPr>
        <w:t xml:space="preserve">Recommended approach: Open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Model</w:t>
            </w:r>
          </w:p>
        </w:tc>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IP Protection</w:t>
            </w:r>
          </w:p>
        </w:tc>
        <w:tc>
          <w:tcPr>
            <w:tcW w:type="dxa" w:w="23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Revenue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 Core (Recommended)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Core platform GPL-3.0. Premium features proprietary.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SaaS + premium tier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Dual License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GPL-3.0 free + commercial license for enterprise.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GPL community + license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Full Open Source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Everything open. Revenue from hosting + support.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MODERATE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SaaS hosting + support</w:t>
            </w:r>
          </w:p>
        </w:tc>
      </w:tr>
    </w:tbl>
    <w:p>
      <w:pPr>
        <w:pStyle w:val="Heading2"/>
      </w:pPr>
      <w:r>
        <w:t xml:space="preserve">Protection Layer 6: Contractual Protections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Relationship</w:t>
            </w:r>
          </w:p>
        </w:tc>
        <w:tc>
          <w:tcPr>
            <w:tcW w:type="dxa" w:w="36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Required Agreement</w:t>
            </w:r>
          </w:p>
        </w:tc>
        <w:tc>
          <w:tcPr>
            <w:tcW w:type="dxa" w:w="25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Beta testers / demo merchants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NDA + Beta Agreement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DELIVERED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Future employees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Employment agreement with IP assignment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Contractors / freelancers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Contractor agreement with work-for-hire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Advisors / board members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Advisor agreement with NDA + IP provisions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Open-source contributors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Contributor License Agreement (CLA)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NEEDED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API partners (Square, BTC Pay)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Review partner agreements for IP implications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PENDING</w:t>
            </w:r>
          </w:p>
        </w:tc>
      </w:tr>
    </w:tbl>
    <w:p>
      <w:pPr>
        <w:pBdr>
          <w:bottom w:val="single" w:color="E0E0E0" w:sz="4" w:space="4"/>
        </w:pBdr>
        <w:spacing w:after="200" w:before="200"/>
      </w:pPr>
    </w:p>
    <w:p>
      <w:pPr>
        <w:pStyle w:val="Heading1"/>
      </w:pPr>
      <w:r>
        <w:t xml:space="preserve">PART 3: OFFENSIVE RISK 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1100"/>
        <w:gridCol w:w="900"/>
        <w:gridCol w:w="960"/>
      </w:tblGrid>
      <w:tr>
        <w:tc>
          <w:tcPr>
            <w:tcW w:type="dxa" w:w="1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Risk ID</w:t>
            </w:r>
          </w:p>
        </w:tc>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Description</w:t>
            </w:r>
          </w:p>
        </w:tc>
        <w:tc>
          <w:tcPr>
            <w:tcW w:type="dxa" w:w="1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Severity</w:t>
            </w:r>
          </w:p>
        </w:tc>
        <w:tc>
          <w:tcPr>
            <w:tcW w:type="dxa" w:w="11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Likelihood</w:t>
            </w:r>
          </w:p>
        </w:tc>
        <w:tc>
          <w:tcPr>
            <w:tcW w:type="dxa" w:w="9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Score</w:t>
            </w:r>
          </w:p>
        </w:tc>
        <w:tc>
          <w:tcPr>
            <w:tcW w:type="dxa" w:w="9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Level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Trade secret leakage via poor sanitization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Copyright not registered before exposure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12</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Lightning architecture disclosed pre-patent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Trademark conflict on “Canary”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YELLOW</w:t>
            </w:r>
          </w:p>
        </w:tc>
      </w:tr>
    </w:tbl>
    <w:p>
      <w:pPr>
        <w:pBdr>
          <w:bottom w:val="single" w:color="E0E0E0" w:sz="4" w:space="4"/>
        </w:pBdr>
        <w:spacing w:after="200" w:before="200"/>
      </w:pPr>
    </w:p>
    <w:p>
      <w:pPr>
        <w:pStyle w:val="Heading1"/>
      </w:pPr>
      <w:r>
        <w:t xml:space="preserve">PART 4: DEFENSIVE RISK ASSESSMENT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000"/>
        <w:gridCol w:w="1100"/>
        <w:gridCol w:w="900"/>
        <w:gridCol w:w="960"/>
      </w:tblGrid>
      <w:tr>
        <w:tc>
          <w:tcPr>
            <w:tcW w:type="dxa" w:w="1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Risk ID</w:t>
            </w:r>
          </w:p>
        </w:tc>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Description</w:t>
            </w:r>
          </w:p>
        </w:tc>
        <w:tc>
          <w:tcPr>
            <w:tcW w:type="dxa" w:w="1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Severity</w:t>
            </w:r>
          </w:p>
        </w:tc>
        <w:tc>
          <w:tcPr>
            <w:tcW w:type="dxa" w:w="11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Likelihood</w:t>
            </w:r>
          </w:p>
        </w:tc>
        <w:tc>
          <w:tcPr>
            <w:tcW w:type="dxa" w:w="9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Score</w:t>
            </w:r>
          </w:p>
        </w:tc>
        <w:tc>
          <w:tcPr>
            <w:tcW w:type="dxa" w:w="9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Level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Open-source license compliance failure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YELLOW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Former employer IP claim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ORANGE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Patent troll / broad patent claim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YELLOW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R-IP-008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Square partner IP provisions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YELLOW</w:t>
            </w:r>
          </w:p>
        </w:tc>
      </w:tr>
    </w:tbl>
    <w:p>
      <w:pPr>
        <w:spacing w:before="60"/>
      </w:pPr>
    </w:p>
    <w:p>
      <w:pPr>
        <w:spacing w:after="120"/>
      </w:pPr>
      <w:r>
        <w:rPr>
          <w:b/>
          <w:bCs/>
        </w:rPr>
        <w:t xml:space="preserve">R-IP-006 (Former Employer IP Claim) is the most important defensive risk. </w:t>
      </w:r>
      <w:r>
        <w:t xml:space="preserve">Our defense: 100% independent creation (git history proves timeline), general industry knowledge (not proprietary thresholds), clean room development (CRDM built from public standards), significant time separation.</w:t>
      </w:r>
    </w:p>
    <w:p>
      <w:pPr>
        <w:pBdr>
          <w:bottom w:val="single" w:color="E0E0E0" w:sz="4" w:space="4"/>
        </w:pBdr>
        <w:spacing w:after="200" w:before="200"/>
      </w:pPr>
    </w:p>
    <w:p>
      <w:pPr>
        <w:pStyle w:val="Heading1"/>
      </w:pPr>
      <w:r>
        <w:t xml:space="preserve">PART 5: ACTION PLAN</w:t>
      </w:r>
    </w:p>
    <w:p>
      <w:pPr>
        <w:pStyle w:val="Heading2"/>
      </w:pPr>
      <w:r>
        <w:t xml:space="preserve">Immediate (Before Thursday Recon — Feb 27)</w:t>
      </w:r>
    </w:p>
    <w:p>
      <w:pPr>
        <w:pStyle w:val="ListParagraph"/>
        <w:numPr>
          <w:ilvl w:val="0"/>
          <w:numId w:val="2"/>
        </w:numPr>
        <w:spacing w:after="60"/>
      </w:pPr>
      <w:r>
        <w:t xml:space="preserve">Do NOT mention Lightning/BTC Pay fee architecture to any merchant</w:t>
      </w:r>
    </w:p>
    <w:p>
      <w:pPr>
        <w:pStyle w:val="ListParagraph"/>
        <w:numPr>
          <w:ilvl w:val="0"/>
          <w:numId w:val="2"/>
        </w:numPr>
        <w:spacing w:after="60"/>
      </w:pPr>
      <w:r>
        <w:t xml:space="preserve">Do NOT reference any former employer by name</w:t>
      </w:r>
    </w:p>
    <w:p>
      <w:pPr>
        <w:pStyle w:val="ListParagraph"/>
        <w:numPr>
          <w:ilvl w:val="0"/>
          <w:numId w:val="2"/>
        </w:numPr>
        <w:spacing w:after="60"/>
      </w:pPr>
      <w:r>
        <w:t xml:space="preserve">Merchant NDA signed before any substantive demo</w:t>
      </w:r>
    </w:p>
    <w:p>
      <w:pPr>
        <w:pStyle w:val="Heading2"/>
      </w:pPr>
      <w:r>
        <w:t xml:space="preserve">Short-Term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000"/>
        <w:gridCol w:w="2660"/>
      </w:tblGrid>
      <w:tr>
        <w:tc>
          <w:tcPr>
            <w:tcW w:type="dxa" w:w="5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w:t>
            </w:r>
          </w:p>
        </w:tc>
        <w:tc>
          <w:tcPr>
            <w:tcW w:type="dxa" w:w="4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Action</w:t>
            </w:r>
          </w:p>
        </w:tc>
        <w:tc>
          <w:tcPr>
            <w:tcW w:type="dxa" w:w="20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Owner</w:t>
            </w:r>
          </w:p>
        </w:tc>
        <w:tc>
          <w:tcPr>
            <w:tcW w:type="dxa" w:w="26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Deadline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Complete Crown Jewels Registry v1.0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Condor + Syd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 15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 provisional patent (Lightning fee architecture)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Syd + patent atty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Before disclosure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Conduct trademark search (“Canary” + “GrowDirect”)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Syd + TM atty</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 31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File ITU trademark applications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After search clears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Decide open-source license (GPL-3.0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Jeffe + Syd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 31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Review prior employment agreements for IP restrictions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Syd + Jeffe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 15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Review Square Partner Program Agreement for IP provisions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Syd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Before E2 sprint</w:t>
            </w:r>
          </w:p>
        </w:tc>
      </w:tr>
    </w:tbl>
    <w:p>
      <w:pPr>
        <w:pStyle w:val="Heading2"/>
      </w:pPr>
      <w:r>
        <w:t xml:space="preserve">Medium-Term (Q2 2026)</w:t>
      </w:r>
    </w:p>
    <w:p>
      <w:pPr>
        <w:pStyle w:val="ListParagraph"/>
        <w:numPr>
          <w:ilvl w:val="0"/>
          <w:numId w:val="2"/>
        </w:numPr>
        <w:spacing w:after="60"/>
      </w:pPr>
      <w:r>
        <w:t xml:space="preserve">Register copyright for core codebase + CRDM spec (before public launch)</w:t>
      </w:r>
    </w:p>
    <w:p>
      <w:pPr>
        <w:pStyle w:val="ListParagraph"/>
        <w:numPr>
          <w:ilvl w:val="0"/>
          <w:numId w:val="2"/>
        </w:numPr>
        <w:spacing w:after="60"/>
      </w:pPr>
      <w:r>
        <w:t xml:space="preserve">Draft employee/contractor IP assignment agreement template (before first hire)</w:t>
      </w:r>
    </w:p>
    <w:p>
      <w:pPr>
        <w:pStyle w:val="ListParagraph"/>
        <w:numPr>
          <w:ilvl w:val="0"/>
          <w:numId w:val="2"/>
        </w:numPr>
        <w:spacing w:after="60"/>
      </w:pPr>
      <w:r>
        <w:t xml:space="preserve">Draft Contributor License Agreement (CLA) for open-source (before release)</w:t>
      </w:r>
    </w:p>
    <w:p>
      <w:pPr>
        <w:pStyle w:val="ListParagraph"/>
        <w:numPr>
          <w:ilvl w:val="0"/>
          <w:numId w:val="2"/>
        </w:numPr>
        <w:spacing w:after="60"/>
      </w:pPr>
      <w:r>
        <w:t xml:space="preserve">Implement automated license scanning in CI/CD</w:t>
      </w:r>
    </w:p>
    <w:p>
      <w:pPr>
        <w:pStyle w:val="ListParagraph"/>
        <w:numPr>
          <w:ilvl w:val="0"/>
          <w:numId w:val="2"/>
        </w:numPr>
        <w:spacing w:after="60"/>
      </w:pPr>
      <w:r>
        <w:t xml:space="preserve">Evaluate full utility patent application (12 months from provisional)</w:t>
      </w:r>
    </w:p>
    <w:p>
      <w:pPr>
        <w:pBdr>
          <w:bottom w:val="single" w:color="E0E0E0" w:sz="4" w:space="4"/>
        </w:pBdr>
        <w:spacing w:after="200" w:before="200"/>
      </w:pPr>
    </w:p>
    <w:p>
      <w:pPr>
        <w:pStyle w:val="Heading1"/>
      </w:pPr>
      <w:r>
        <w:t xml:space="preserve">PART 6: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2360"/>
      </w:tblGrid>
      <w:tr>
        <w:tc>
          <w:tcPr>
            <w:tcW w:type="dxa" w:w="32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Item</w:t>
            </w:r>
          </w:p>
        </w:tc>
        <w:tc>
          <w:tcPr>
            <w:tcW w:type="dxa" w:w="24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Estimated Cost</w:t>
            </w:r>
          </w:p>
        </w:tc>
        <w:tc>
          <w:tcPr>
            <w:tcW w:type="dxa" w:w="140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Priority</w:t>
            </w:r>
          </w:p>
        </w:tc>
        <w:tc>
          <w:tcPr>
            <w:tcW w:type="dxa" w:w="2360"/>
            <w:tcBorders>
              <w:top w:val="single" w:color="CCCCCC" w:sz="1"/>
              <w:left w:val="single" w:color="CCCCCC" w:sz="1"/>
              <w:bottom w:val="single" w:color="CCCCCC" w:sz="1"/>
              <w:right w:val="single" w:color="CCCCCC" w:sz="1"/>
            </w:tcBorders>
            <w:shd w:fill="FBBF24" w:val="clear"/>
            <w:tcMar>
              <w:top w:type="dxa" w:w="60"/>
              <w:left w:type="dxa" w:w="100"/>
              <w:bottom w:type="dxa" w:w="60"/>
              <w:right w:type="dxa" w:w="100"/>
            </w:tcMar>
          </w:tcPr>
          <w:p>
            <w:r>
              <w:rPr>
                <w:rFonts w:ascii="Calibri" w:cs="Calibri" w:eastAsia="Calibri" w:hAnsi="Calibri"/>
                <w:b/>
                <w:bCs/>
                <w:color w:val="000000"/>
                <w:sz w:val="20"/>
                <w:szCs w:val="20"/>
              </w:rPr>
              <w:t xml:space="preserve">Timeline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Provisional patent application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$2,000–$5,000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Before disclosure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Trademark search + ITU filings (2 marks)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$2,000–$4,000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Q1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Copyright registrations (3–5 works)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$500–$1,000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Before launch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Full utility patent prosecution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$15,000–$30,000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EVALUATE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2027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Automated license scanning tool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$0–$5,000/yr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Q2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Outside patent counsel (initial)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$500–$2,000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Total near-term (Q1–Q2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~$5,000–$12,000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
            </w:r>
          </w:p>
        </w:tc>
      </w:tr>
    </w:tbl>
    <w:p>
      <w:pPr>
        <w:pBdr>
          <w:bottom w:val="single" w:color="E0E0E0" w:sz="4" w:space="4"/>
        </w:pBdr>
        <w:spacing w:after="200" w:before="200"/>
      </w:pPr>
    </w:p>
    <w:p>
      <w:pPr>
        <w:pStyle w:val="Heading1"/>
      </w:pPr>
      <w:r>
        <w:t xml:space="preserve">CLOSING ASSESSMENT</w:t>
      </w:r>
    </w:p>
    <w:p>
      <w:pPr>
        <w:spacing w:after="120"/>
      </w:pPr>
      <w:r>
        <w:t xml:space="preserve">Jeffe, your instinct is right — what we’ve built is genuinely novel. The combination of enterprise-grade LP knowledge, a purpose-built data model for Square merchants, and a Lightning micropayment fee architecture is not something anyone else has assembled. That’s worth protecting.</w:t>
      </w:r>
    </w:p>
    <w:p>
      <w:pPr>
        <w:spacing w:after="120"/>
      </w:pPr>
      <w:r>
        <w:t xml:space="preserve">The good news: most of the protection mechanisms are procedural and inexpensive. Trade secrets cost nothing to maintain if we’re disciplined. Copyright registration is cheap. Trademarks are affordable. The only expensive item is the patent, and even there, a provisional buys us 12 months for under $5K.</w:t>
      </w:r>
    </w:p>
    <w:p>
      <w:pPr>
        <w:spacing w:after="120"/>
      </w:pPr>
      <w:r>
        <w:rPr>
          <w:b/>
          <w:bCs/>
        </w:rPr>
        <w:t xml:space="preserve">The single most time-sensitive item: </w:t>
      </w:r>
      <w:r>
        <w:t xml:space="preserve">File a provisional patent application for the Lightning micropayment fee architecture before any external disclosure. Everything else can proceed in parallel with normal operations.</w:t>
      </w:r>
    </w:p>
    <w:p>
      <w:pPr>
        <w:spacing w:before="200"/>
      </w:pPr>
    </w:p>
    <w:p>
      <w:pPr>
        <w:spacing w:after="120"/>
      </w:pPr>
      <w:r>
        <w:rPr>
          <w:i/>
          <w:iCs/>
          <w:color w:val="999999"/>
        </w:rPr>
        <w:t xml:space="preserve">This document constitutes attorney-client privileged analysis. Do not distribute outside the GrowDirect core team without Syd’s explicit approval.</w:t>
      </w:r>
    </w:p>
    <w:p>
      <w:pPr>
        <w:spacing w:after="120"/>
        <w:jc w:val="center"/>
      </w:pPr>
      <w:r>
        <w:rPr>
          <w:i/>
          <w:iCs/>
          <w:color w:val="999999"/>
        </w:rPr>
        <w:t xml:space="preserve">GrowDirect LLC · Confidential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2026-02-25T03:21:42.992Z</dcterms:created>
  <dcterms:modified xsi:type="dcterms:W3CDTF">2026-02-25T03:21:42.992Z</dcterms:modified>
</cp:coreProperties>
</file>

<file path=docProps/custom.xml><?xml version="1.0" encoding="utf-8"?>
<Properties xmlns="http://schemas.openxmlformats.org/officeDocument/2006/custom-properties" xmlns:vt="http://schemas.openxmlformats.org/officeDocument/2006/docPropsVTypes"/>
</file>