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D4A017" w:sz="3" w:space="8"/>
        </w:pBdr>
        <w:spacing w:before="200" w:after="100"/>
      </w:pPr>
      <w:r>
        <w:rPr>
          <w:rFonts w:ascii="Calibri" w:cs="Calibri" w:eastAsia="Calibri" w:hAnsi="Calibri"/>
          <w:b/>
          <w:bCs/>
          <w:color w:val="D4A017"/>
          <w:sz w:val="36"/>
          <w:szCs w:val="36"/>
        </w:rPr>
        <w:t xml:space="preserve">LEGAL MEMORANDUM</w:t>
      </w:r>
    </w:p>
    <w:p>
      <w:pPr>
        <w:spacing w:after="400"/>
      </w:pPr>
      <w:r>
        <w:rPr>
          <w:rFonts w:ascii="Calibri" w:cs="Calibri" w:eastAsia="Calibri" w:hAnsi="Calibri"/>
          <w:color w:val="333333"/>
          <w:sz w:val="26"/>
          <w:szCs w:val="26"/>
        </w:rPr>
        <w:t xml:space="preserve">Attorney Handoff: GrowDirect DAO LLC Formation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none" w:sz="0"/>
            </w:tcBorders>
            <w:tcMar>
              <w:top w:type="dxa" w:w="80"/>
              <w:left w:type="dxa" w:w="120"/>
              <w:bottom w:type="dxa" w:w="80"/>
              <w:right w:type="dxa" w:w="120"/>
            </w:tcMar>
          </w:tcPr>
          <w:p>
            <w:r>
              <w:rPr>
                <w:rFonts w:ascii="Calibri" w:cs="Calibri" w:eastAsia="Calibri" w:hAnsi="Calibri"/>
                <w:b/>
                <w:bCs/>
                <w:color w:val="333333"/>
                <w:sz w:val="22"/>
                <w:szCs w:val="22"/>
              </w:rPr>
              <w:t xml:space="preserve">TO:</w:t>
            </w:r>
          </w:p>
        </w:tc>
        <w:tc>
          <w:tcPr>
            <w:tcW w:type="dxa" w:w="7360"/>
            <w:tcBorders>
              <w:top w:val="single" w:color="CCCCCC" w:sz="1"/>
              <w:left w:val="none" w:sz="0"/>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2"/>
                <w:szCs w:val="22"/>
              </w:rPr>
              <w:t xml:space="preserve">Reviewing Attorney / Outside Counsel</w:t>
            </w:r>
          </w:p>
        </w:tc>
      </w:tr>
      <w:tr>
        <w:tc>
          <w:tcPr>
            <w:tcW w:type="dxa" w:w="2000"/>
            <w:tcBorders>
              <w:top w:val="single" w:color="CCCCCC" w:sz="1"/>
              <w:left w:val="single" w:color="CCCCCC" w:sz="1"/>
              <w:bottom w:val="single" w:color="CCCCCC" w:sz="1"/>
              <w:right w:val="none" w:sz="0"/>
            </w:tcBorders>
            <w:tcMar>
              <w:top w:type="dxa" w:w="80"/>
              <w:left w:type="dxa" w:w="120"/>
              <w:bottom w:type="dxa" w:w="80"/>
              <w:right w:type="dxa" w:w="120"/>
            </w:tcMar>
          </w:tcPr>
          <w:p>
            <w:r>
              <w:rPr>
                <w:rFonts w:ascii="Calibri" w:cs="Calibri" w:eastAsia="Calibri" w:hAnsi="Calibri"/>
                <w:b/>
                <w:bCs/>
                <w:color w:val="333333"/>
                <w:sz w:val="22"/>
                <w:szCs w:val="22"/>
              </w:rPr>
              <w:t xml:space="preserve">FROM:</w:t>
            </w:r>
          </w:p>
        </w:tc>
        <w:tc>
          <w:tcPr>
            <w:tcW w:type="dxa" w:w="7360"/>
            <w:tcBorders>
              <w:top w:val="single" w:color="CCCCCC" w:sz="1"/>
              <w:left w:val="none" w:sz="0"/>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2"/>
                <w:szCs w:val="22"/>
              </w:rPr>
              <w:t xml:space="preserve">GrowDirect Legal (Internal Preparation)</w:t>
            </w:r>
          </w:p>
        </w:tc>
      </w:tr>
      <w:tr>
        <w:tc>
          <w:tcPr>
            <w:tcW w:type="dxa" w:w="2000"/>
            <w:tcBorders>
              <w:top w:val="single" w:color="CCCCCC" w:sz="1"/>
              <w:left w:val="single" w:color="CCCCCC" w:sz="1"/>
              <w:bottom w:val="single" w:color="CCCCCC" w:sz="1"/>
              <w:right w:val="none" w:sz="0"/>
            </w:tcBorders>
            <w:tcMar>
              <w:top w:type="dxa" w:w="80"/>
              <w:left w:type="dxa" w:w="120"/>
              <w:bottom w:type="dxa" w:w="80"/>
              <w:right w:type="dxa" w:w="120"/>
            </w:tcMar>
          </w:tcPr>
          <w:p>
            <w:r>
              <w:rPr>
                <w:rFonts w:ascii="Calibri" w:cs="Calibri" w:eastAsia="Calibri" w:hAnsi="Calibri"/>
                <w:b/>
                <w:bCs/>
                <w:color w:val="333333"/>
                <w:sz w:val="22"/>
                <w:szCs w:val="22"/>
              </w:rPr>
              <w:t xml:space="preserve">DATE:</w:t>
            </w:r>
          </w:p>
        </w:tc>
        <w:tc>
          <w:tcPr>
            <w:tcW w:type="dxa" w:w="7360"/>
            <w:tcBorders>
              <w:top w:val="single" w:color="CCCCCC" w:sz="1"/>
              <w:left w:val="none" w:sz="0"/>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2"/>
                <w:szCs w:val="22"/>
              </w:rPr>
              <w:t xml:space="preserve">February 2026</w:t>
            </w:r>
          </w:p>
        </w:tc>
      </w:tr>
      <w:tr>
        <w:tc>
          <w:tcPr>
            <w:tcW w:type="dxa" w:w="2000"/>
            <w:tcBorders>
              <w:top w:val="single" w:color="CCCCCC" w:sz="1"/>
              <w:left w:val="single" w:color="CCCCCC" w:sz="1"/>
              <w:bottom w:val="single" w:color="CCCCCC" w:sz="1"/>
              <w:right w:val="none" w:sz="0"/>
            </w:tcBorders>
            <w:tcMar>
              <w:top w:type="dxa" w:w="80"/>
              <w:left w:type="dxa" w:w="120"/>
              <w:bottom w:type="dxa" w:w="80"/>
              <w:right w:type="dxa" w:w="120"/>
            </w:tcMar>
          </w:tcPr>
          <w:p>
            <w:r>
              <w:rPr>
                <w:rFonts w:ascii="Calibri" w:cs="Calibri" w:eastAsia="Calibri" w:hAnsi="Calibri"/>
                <w:b/>
                <w:bCs/>
                <w:color w:val="333333"/>
                <w:sz w:val="22"/>
                <w:szCs w:val="22"/>
              </w:rPr>
              <w:t xml:space="preserve">RE:</w:t>
            </w:r>
          </w:p>
        </w:tc>
        <w:tc>
          <w:tcPr>
            <w:tcW w:type="dxa" w:w="7360"/>
            <w:tcBorders>
              <w:top w:val="single" w:color="CCCCCC" w:sz="1"/>
              <w:left w:val="none" w:sz="0"/>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2"/>
                <w:szCs w:val="22"/>
              </w:rPr>
              <w:t xml:space="preserve">Wyoming DAO LLC Formation — Complete Filing Package for Review</w:t>
            </w:r>
          </w:p>
        </w:tc>
      </w:tr>
      <w:tr>
        <w:tc>
          <w:tcPr>
            <w:tcW w:type="dxa" w:w="2000"/>
            <w:tcBorders>
              <w:top w:val="single" w:color="CCCCCC" w:sz="1"/>
              <w:left w:val="single" w:color="CCCCCC" w:sz="1"/>
              <w:bottom w:val="single" w:color="CCCCCC" w:sz="1"/>
              <w:right w:val="none" w:sz="0"/>
            </w:tcBorders>
            <w:tcMar>
              <w:top w:type="dxa" w:w="80"/>
              <w:left w:type="dxa" w:w="120"/>
              <w:bottom w:type="dxa" w:w="80"/>
              <w:right w:type="dxa" w:w="120"/>
            </w:tcMar>
          </w:tcPr>
          <w:p>
            <w:r>
              <w:rPr>
                <w:rFonts w:ascii="Calibri" w:cs="Calibri" w:eastAsia="Calibri" w:hAnsi="Calibri"/>
                <w:b/>
                <w:bCs/>
                <w:color w:val="333333"/>
                <w:sz w:val="22"/>
                <w:szCs w:val="22"/>
              </w:rPr>
              <w:t xml:space="preserve">CLIENT:</w:t>
            </w:r>
          </w:p>
        </w:tc>
        <w:tc>
          <w:tcPr>
            <w:tcW w:type="dxa" w:w="7360"/>
            <w:tcBorders>
              <w:top w:val="single" w:color="CCCCCC" w:sz="1"/>
              <w:left w:val="none" w:sz="0"/>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2"/>
                <w:szCs w:val="22"/>
              </w:rPr>
              <w:t xml:space="preserve">Geoffrey C. Lyle, Founder</w:t>
            </w:r>
          </w:p>
        </w:tc>
      </w:tr>
      <w:tr>
        <w:tc>
          <w:tcPr>
            <w:tcW w:type="dxa" w:w="2000"/>
            <w:tcBorders>
              <w:top w:val="single" w:color="CCCCCC" w:sz="1"/>
              <w:left w:val="single" w:color="CCCCCC" w:sz="1"/>
              <w:bottom w:val="single" w:color="CCCCCC" w:sz="1"/>
              <w:right w:val="none" w:sz="0"/>
            </w:tcBorders>
            <w:tcMar>
              <w:top w:type="dxa" w:w="80"/>
              <w:left w:type="dxa" w:w="120"/>
              <w:bottom w:type="dxa" w:w="80"/>
              <w:right w:type="dxa" w:w="120"/>
            </w:tcMar>
          </w:tcPr>
          <w:p>
            <w:r>
              <w:rPr>
                <w:rFonts w:ascii="Calibri" w:cs="Calibri" w:eastAsia="Calibri" w:hAnsi="Calibri"/>
                <w:b/>
                <w:bCs/>
                <w:color w:val="333333"/>
                <w:sz w:val="22"/>
                <w:szCs w:val="22"/>
              </w:rPr>
              <w:t xml:space="preserve">CONTACT:</w:t>
            </w:r>
          </w:p>
        </w:tc>
        <w:tc>
          <w:tcPr>
            <w:tcW w:type="dxa" w:w="7360"/>
            <w:tcBorders>
              <w:top w:val="single" w:color="CCCCCC" w:sz="1"/>
              <w:left w:val="none" w:sz="0"/>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2"/>
                <w:szCs w:val="22"/>
              </w:rPr>
              <w:t xml:space="preserve">gclyle@growdirect.io | 310-905-9272</w:t>
            </w:r>
          </w:p>
        </w:tc>
      </w:tr>
      <w:tr>
        <w:tc>
          <w:tcPr>
            <w:tcW w:type="dxa" w:w="2000"/>
            <w:tcBorders>
              <w:top w:val="single" w:color="CCCCCC" w:sz="1"/>
              <w:left w:val="single" w:color="CCCCCC" w:sz="1"/>
              <w:bottom w:val="single" w:color="CCCCCC" w:sz="1"/>
              <w:right w:val="none" w:sz="0"/>
            </w:tcBorders>
            <w:tcMar>
              <w:top w:type="dxa" w:w="80"/>
              <w:left w:type="dxa" w:w="120"/>
              <w:bottom w:type="dxa" w:w="80"/>
              <w:right w:type="dxa" w:w="120"/>
            </w:tcMar>
          </w:tcPr>
          <w:p>
            <w:r>
              <w:rPr>
                <w:rFonts w:ascii="Calibri" w:cs="Calibri" w:eastAsia="Calibri" w:hAnsi="Calibri"/>
                <w:b/>
                <w:bCs/>
                <w:color w:val="333333"/>
                <w:sz w:val="22"/>
                <w:szCs w:val="22"/>
              </w:rPr>
              <w:t xml:space="preserve">CLASSIFICATION:</w:t>
            </w:r>
          </w:p>
        </w:tc>
        <w:tc>
          <w:tcPr>
            <w:tcW w:type="dxa" w:w="7360"/>
            <w:tcBorders>
              <w:top w:val="single" w:color="CCCCCC" w:sz="1"/>
              <w:left w:val="none" w:sz="0"/>
              <w:bottom w:val="single" w:color="CCCCCC" w:sz="1"/>
              <w:right w:val="single" w:color="CCCCCC" w:sz="1"/>
            </w:tcBorders>
            <w:tcMar>
              <w:top w:type="dxa" w:w="80"/>
              <w:left w:type="dxa" w:w="120"/>
              <w:bottom w:type="dxa" w:w="80"/>
              <w:right w:type="dxa" w:w="120"/>
            </w:tcMar>
          </w:tcPr>
          <w:p>
            <w:r>
              <w:rPr>
                <w:rFonts w:ascii="Calibri" w:cs="Calibri" w:eastAsia="Calibri" w:hAnsi="Calibri"/>
                <w:color w:val="333333"/>
                <w:sz w:val="22"/>
                <w:szCs w:val="22"/>
              </w:rPr>
              <w:t xml:space="preserve">PRIVILEGED &amp; CONFIDENTIAL</w:t>
            </w:r>
          </w:p>
        </w:tc>
      </w:tr>
    </w:tbl>
    <w:p>
      <w:pPr>
        <w:pStyle w:val="Heading1"/>
        <w:spacing w:before="300" w:after="150"/>
      </w:pPr>
      <w:r>
        <w:rPr>
          <w:rFonts w:ascii="Calibri" w:cs="Calibri" w:eastAsia="Calibri" w:hAnsi="Calibri"/>
          <w:b/>
          <w:bCs/>
          <w:color w:val="D4A017"/>
          <w:sz w:val="32"/>
          <w:szCs w:val="32"/>
        </w:rPr>
        <w:t xml:space="preserve">1. Executive Summary</w:t>
      </w:r>
    </w:p>
    <w:p>
      <w:pPr>
        <w:spacing w:after="120"/>
      </w:pPr>
      <w:r>
        <w:rPr>
          <w:rFonts w:ascii="Calibri" w:cs="Calibri" w:eastAsia="Calibri" w:hAnsi="Calibri"/>
          <w:color w:val="333333"/>
          <w:sz w:val="22"/>
          <w:szCs w:val="22"/>
        </w:rPr>
        <w:t xml:space="preserve">This memorandum accompanies a complete formation package for GrowDirect DAO LLC, a Wyoming Decentralized Autonomous Organization Limited Liability Company to be organized under W.S. 17-29-101 et seq. (Wyoming LLC Act) and W.S. 17-31-101 et seq. (Wyoming DAO Supplement).</w:t>
      </w:r>
    </w:p>
    <w:p>
      <w:pPr>
        <w:spacing w:after="120"/>
      </w:pPr>
      <w:r>
        <w:rPr>
          <w:rFonts w:ascii="Calibri" w:cs="Calibri" w:eastAsia="Calibri" w:hAnsi="Calibri"/>
          <w:color w:val="333333"/>
          <w:sz w:val="22"/>
          <w:szCs w:val="22"/>
        </w:rPr>
        <w:t xml:space="preserve">GrowDirect is an AI-powered loss prevention and fraud detection platform for retail merchants, with Bitcoin and Lightning Network payment infrastructure as a core differentiator. The founder, Geoffrey C. Lyle, has 25+ years of enterprise retail technology experience spanning Management Horizons/PwC, IBM, and SysRepublic (acquired by Appriss, 2016).</w:t>
      </w:r>
    </w:p>
    <w:p>
      <w:pPr>
        <w:spacing w:after="120"/>
      </w:pPr>
      <w:r>
        <w:rPr>
          <w:rFonts w:ascii="Calibri" w:cs="Calibri" w:eastAsia="Calibri" w:hAnsi="Calibri"/>
          <w:color w:val="333333"/>
          <w:sz w:val="22"/>
          <w:szCs w:val="22"/>
        </w:rPr>
        <w:t xml:space="preserve">The enclosed package has been prepared internally to minimize attorney time and cost. We are requesting outside counsel to review, refine, and take over the filing. The goal is a clean, compliant formation that positions GrowDirect for seed fundraising, Square Marketplace app certification, and potential open-source licensing.</w:t>
      </w:r>
    </w:p>
    <w:p>
      <w:pPr>
        <w:pStyle w:val="Heading1"/>
        <w:spacing w:before="300" w:after="150"/>
      </w:pPr>
      <w:r>
        <w:rPr>
          <w:rFonts w:ascii="Calibri" w:cs="Calibri" w:eastAsia="Calibri" w:hAnsi="Calibri"/>
          <w:b/>
          <w:bCs/>
          <w:color w:val="D4A017"/>
          <w:sz w:val="32"/>
          <w:szCs w:val="32"/>
        </w:rPr>
        <w:t xml:space="preserve">2. Package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2000"/>
        <w:gridCol w:w="2060"/>
      </w:tblGrid>
      <w:tr>
        <w:tc>
          <w:tcPr>
            <w:tcW w:type="dxa" w:w="80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r>
              <w:rPr>
                <w:rFonts w:ascii="Calibri" w:cs="Calibri" w:eastAsia="Calibri" w:hAnsi="Calibri"/>
                <w:b/>
                <w:bCs/>
                <w:color w:val="FFFFFF"/>
                <w:sz w:val="20"/>
                <w:szCs w:val="20"/>
              </w:rPr>
              <w:t xml:space="preserve">Document</w:t>
            </w:r>
          </w:p>
        </w:tc>
        <w:tc>
          <w:tcPr>
            <w:tcW w:type="dxa" w:w="200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r>
              <w:rPr>
                <w:rFonts w:ascii="Calibri" w:cs="Calibri" w:eastAsia="Calibri" w:hAnsi="Calibri"/>
                <w:b/>
                <w:bCs/>
                <w:color w:val="FFFFFF"/>
                <w:sz w:val="20"/>
                <w:szCs w:val="20"/>
              </w:rPr>
              <w:t xml:space="preserve">Format</w:t>
            </w:r>
          </w:p>
        </w:tc>
        <w:tc>
          <w:tcPr>
            <w:tcW w:type="dxa" w:w="20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sz w:val="20"/>
                <w:szCs w:val="20"/>
              </w:rPr>
              <w:t xml:space="preserve">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Articles of Organization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.docx</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DRAFT — Review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sz w:val="20"/>
                <w:szCs w:val="20"/>
              </w:rPr>
              <w:t xml:space="preserve">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Operating Agreement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.docx</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DRAFT — Review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sz w:val="20"/>
                <w:szCs w:val="20"/>
              </w:rPr>
              <w:t xml:space="preserve">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Governance Smart Contract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.sol (Solidity)</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DRAFT — Needs Audit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sz w:val="20"/>
                <w:szCs w:val="20"/>
              </w:rPr>
              <w:t xml:space="preserve">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Filing Checklist &amp; Timeline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.docx</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sz w:val="20"/>
                <w:szCs w:val="20"/>
              </w:rPr>
              <w:t xml:space="preserve">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This Legal Memo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.docx</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Complete</w:t>
            </w:r>
          </w:p>
        </w:tc>
      </w:tr>
    </w:tbl>
    <w:p>
      <w:pPr>
        <w:pStyle w:val="Heading1"/>
        <w:spacing w:before="300" w:after="150"/>
      </w:pPr>
      <w:r>
        <w:rPr>
          <w:rFonts w:ascii="Calibri" w:cs="Calibri" w:eastAsia="Calibri" w:hAnsi="Calibri"/>
          <w:b/>
          <w:bCs/>
          <w:color w:val="D4A017"/>
          <w:sz w:val="32"/>
          <w:szCs w:val="32"/>
        </w:rPr>
        <w:t xml:space="preserve">3. Why Wyoming DAO LLC</w:t>
      </w:r>
    </w:p>
    <w:p>
      <w:pPr>
        <w:spacing w:after="120"/>
      </w:pPr>
      <w:r>
        <w:rPr>
          <w:rFonts w:ascii="Calibri" w:cs="Calibri" w:eastAsia="Calibri" w:hAnsi="Calibri"/>
          <w:color w:val="333333"/>
          <w:sz w:val="22"/>
          <w:szCs w:val="22"/>
        </w:rPr>
        <w:t xml:space="preserve">Wyoming was selected for the following reasons:</w:t>
      </w:r>
    </w:p>
    <w:p>
      <w:pPr>
        <w:pStyle w:val="ListParagraph"/>
        <w:numPr>
          <w:ilvl w:val="0"/>
          <w:numId w:val="2"/>
        </w:numPr>
        <w:spacing w:after="80"/>
      </w:pPr>
      <w:r>
        <w:rPr>
          <w:rFonts w:ascii="Calibri" w:cs="Calibri" w:eastAsia="Calibri" w:hAnsi="Calibri"/>
          <w:color w:val="333333"/>
          <w:sz w:val="22"/>
          <w:szCs w:val="22"/>
        </w:rPr>
        <w:t xml:space="preserve">First U.S. state to provide a dedicated DAO legal framework (W.S. 17-31, effective July 2021, amended 2022).</w:t>
      </w:r>
    </w:p>
    <w:p>
      <w:pPr>
        <w:pStyle w:val="ListParagraph"/>
        <w:numPr>
          <w:ilvl w:val="0"/>
          <w:numId w:val="2"/>
        </w:numPr>
        <w:spacing w:after="80"/>
      </w:pPr>
      <w:r>
        <w:rPr>
          <w:rFonts w:ascii="Calibri" w:cs="Calibri" w:eastAsia="Calibri" w:hAnsi="Calibri"/>
          <w:color w:val="333333"/>
          <w:sz w:val="22"/>
          <w:szCs w:val="22"/>
        </w:rPr>
        <w:t xml:space="preserve">Smart contract integration: W.S. 17-31-104(b)(iii) requires a publicly available smart contract identifier, creating legal recognition for on-chain governance.</w:t>
      </w:r>
    </w:p>
    <w:p>
      <w:pPr>
        <w:pStyle w:val="ListParagraph"/>
        <w:numPr>
          <w:ilvl w:val="0"/>
          <w:numId w:val="2"/>
        </w:numPr>
        <w:spacing w:after="80"/>
      </w:pPr>
      <w:r>
        <w:rPr>
          <w:rFonts w:ascii="Calibri" w:cs="Calibri" w:eastAsia="Calibri" w:hAnsi="Calibri"/>
          <w:color w:val="333333"/>
          <w:sz w:val="22"/>
          <w:szCs w:val="22"/>
        </w:rPr>
        <w:t xml:space="preserve">Smart contract supremacy: W.S. 17-31-106(b) establishes that smart contracts control over the operating agreement and articles in case of conflict.</w:t>
      </w:r>
    </w:p>
    <w:p>
      <w:pPr>
        <w:pStyle w:val="ListParagraph"/>
        <w:numPr>
          <w:ilvl w:val="0"/>
          <w:numId w:val="2"/>
        </w:numPr>
        <w:spacing w:after="80"/>
      </w:pPr>
      <w:r>
        <w:rPr>
          <w:rFonts w:ascii="Calibri" w:cs="Calibri" w:eastAsia="Calibri" w:hAnsi="Calibri"/>
          <w:color w:val="333333"/>
          <w:sz w:val="22"/>
          <w:szCs w:val="22"/>
        </w:rPr>
        <w:t xml:space="preserve">Bitcoin-friendly jurisdiction: No state income tax, favorable digital asset treatment, and the 2019 Wyoming Utility Token Act provides additional clarity.</w:t>
      </w:r>
    </w:p>
    <w:p>
      <w:pPr>
        <w:pStyle w:val="ListParagraph"/>
        <w:numPr>
          <w:ilvl w:val="0"/>
          <w:numId w:val="2"/>
        </w:numPr>
        <w:spacing w:after="80"/>
      </w:pPr>
      <w:r>
        <w:rPr>
          <w:rFonts w:ascii="Calibri" w:cs="Calibri" w:eastAsia="Calibri" w:hAnsi="Calibri"/>
          <w:color w:val="333333"/>
          <w:sz w:val="22"/>
          <w:szCs w:val="22"/>
        </w:rPr>
        <w:t xml:space="preserve">Low formation cost: $100 filing fee, $60/year annual report minimum.</w:t>
      </w:r>
    </w:p>
    <w:p>
      <w:pPr>
        <w:pStyle w:val="ListParagraph"/>
        <w:numPr>
          <w:ilvl w:val="0"/>
          <w:numId w:val="2"/>
        </w:numPr>
        <w:spacing w:after="80"/>
      </w:pPr>
      <w:r>
        <w:rPr>
          <w:rFonts w:ascii="Calibri" w:cs="Calibri" w:eastAsia="Calibri" w:hAnsi="Calibri"/>
          <w:color w:val="333333"/>
          <w:sz w:val="22"/>
          <w:szCs w:val="22"/>
        </w:rPr>
        <w:t xml:space="preserve">Upgradeability requirement: W.S. 17-31-106(d) requires that algorithmically managed DAOs have upgradeable smart contracts, which aligns with our UUPS proxy pattern.</w:t>
      </w:r>
    </w:p>
    <w:p>
      <w:pPr>
        <w:pStyle w:val="ListParagraph"/>
        <w:numPr>
          <w:ilvl w:val="0"/>
          <w:numId w:val="2"/>
        </w:numPr>
        <w:spacing w:after="80"/>
      </w:pPr>
      <w:r>
        <w:rPr>
          <w:rFonts w:ascii="Calibri" w:cs="Calibri" w:eastAsia="Calibri" w:hAnsi="Calibri"/>
          <w:color w:val="333333"/>
          <w:sz w:val="22"/>
          <w:szCs w:val="22"/>
        </w:rPr>
        <w:t xml:space="preserve">Avalanche alignment: The State of Wyoming deployed its Frontier Stable Token (FRNT) on the Avalanche C-Chain in 2025, making Avalanche the state’s preferred blockchain infrastructure. GrowDirect will deploy its governance smart contract on the same chain and operate a validator node (3,000 AVAX, ~$26,700), directly securing the network on which FRNT operates. This creates a vertically integrated Wyoming-native stack: entity, governance, infrastructure, and potential settlement currency all running through Wyoming’s regulatory and blockchain ecosystem. Wyoming also passed the DUNA (Decentralized Unincorporated Nonprofit Association) Act in 2024 (SF0050), but the DAO LLC structure is more appropriate for GrowDirect as a for-profit entity.</w:t>
      </w:r>
    </w:p>
    <w:p>
      <w:r>
        <w:br w:type="page"/>
      </w:r>
    </w:p>
    <w:p>
      <w:pPr>
        <w:pStyle w:val="Heading1"/>
        <w:spacing w:before="300" w:after="150"/>
      </w:pPr>
      <w:r>
        <w:rPr>
          <w:rFonts w:ascii="Calibri" w:cs="Calibri" w:eastAsia="Calibri" w:hAnsi="Calibri"/>
          <w:b/>
          <w:bCs/>
          <w:color w:val="D4A017"/>
          <w:sz w:val="32"/>
          <w:szCs w:val="32"/>
        </w:rPr>
        <w:t xml:space="preserve">4. Issues Requiring Attorney Review</w:t>
      </w:r>
    </w:p>
    <w:p>
      <w:pPr>
        <w:pStyle w:val="Heading2"/>
        <w:spacing w:before="240" w:after="120"/>
      </w:pPr>
      <w:r>
        <w:rPr>
          <w:rFonts w:ascii="Calibri" w:cs="Calibri" w:eastAsia="Calibri" w:hAnsi="Calibri"/>
          <w:b/>
          <w:bCs/>
          <w:color w:val="333333"/>
          <w:sz w:val="26"/>
          <w:szCs w:val="26"/>
        </w:rPr>
        <w:t xml:space="preserve">4.1 Securities Classification (CRITICAL)</w:t>
      </w:r>
    </w:p>
    <w:p>
      <w:pPr>
        <w:spacing w:after="120"/>
      </w:pPr>
      <w:r>
        <w:rPr>
          <w:rFonts w:ascii="Calibri" w:cs="Calibri" w:eastAsia="Calibri" w:hAnsi="Calibri"/>
          <w:color w:val="333333"/>
          <w:sz w:val="22"/>
          <w:szCs w:val="22"/>
        </w:rPr>
        <w:t xml:space="preserve">The GROW governance token may constitute a security under the Howey test. The token grants voting rights, proportional economic interest, and potential distributions. Attorney should:</w:t>
      </w:r>
    </w:p>
    <w:p>
      <w:pPr>
        <w:pStyle w:val="ListParagraph"/>
        <w:numPr>
          <w:ilvl w:val="0"/>
          <w:numId w:val="3"/>
        </w:numPr>
        <w:spacing w:after="80"/>
      </w:pPr>
      <w:r>
        <w:rPr>
          <w:rFonts w:ascii="Calibri" w:cs="Calibri" w:eastAsia="Calibri" w:hAnsi="Calibri"/>
          <w:color w:val="333333"/>
          <w:sz w:val="22"/>
          <w:szCs w:val="22"/>
        </w:rPr>
        <w:t xml:space="preserve">Conduct a Howey analysis for GROW token classification.</w:t>
      </w:r>
    </w:p>
    <w:p>
      <w:pPr>
        <w:pStyle w:val="ListParagraph"/>
        <w:numPr>
          <w:ilvl w:val="0"/>
          <w:numId w:val="3"/>
        </w:numPr>
        <w:spacing w:after="80"/>
      </w:pPr>
      <w:r>
        <w:rPr>
          <w:rFonts w:ascii="Calibri" w:cs="Calibri" w:eastAsia="Calibri" w:hAnsi="Calibri"/>
          <w:color w:val="333333"/>
          <w:sz w:val="22"/>
          <w:szCs w:val="22"/>
        </w:rPr>
        <w:t xml:space="preserve">Evaluate whether Regulation D (Rule 506(b) or 506(c)) exemptions apply for initial token distribution.</w:t>
      </w:r>
    </w:p>
    <w:p>
      <w:pPr>
        <w:pStyle w:val="ListParagraph"/>
        <w:numPr>
          <w:ilvl w:val="0"/>
          <w:numId w:val="3"/>
        </w:numPr>
        <w:spacing w:after="80"/>
      </w:pPr>
      <w:r>
        <w:rPr>
          <w:rFonts w:ascii="Calibri" w:cs="Calibri" w:eastAsia="Calibri" w:hAnsi="Calibri"/>
          <w:color w:val="333333"/>
          <w:sz w:val="22"/>
          <w:szCs w:val="22"/>
        </w:rPr>
        <w:t xml:space="preserve">Assess whether the DAO structure creates an "investment contract" with an expectation of profit derived from the efforts of others.</w:t>
      </w:r>
    </w:p>
    <w:p>
      <w:pPr>
        <w:pStyle w:val="ListParagraph"/>
        <w:numPr>
          <w:ilvl w:val="0"/>
          <w:numId w:val="3"/>
        </w:numPr>
        <w:spacing w:after="80"/>
      </w:pPr>
      <w:r>
        <w:rPr>
          <w:rFonts w:ascii="Calibri" w:cs="Calibri" w:eastAsia="Calibri" w:hAnsi="Calibri"/>
          <w:color w:val="333333"/>
          <w:sz w:val="22"/>
          <w:szCs w:val="22"/>
        </w:rPr>
        <w:t xml:space="preserve">Consider whether the token could qualify as a non-security governance token if economic rights are removed or limited.</w:t>
      </w:r>
    </w:p>
    <w:p>
      <w:pPr>
        <w:pStyle w:val="ListParagraph"/>
        <w:numPr>
          <w:ilvl w:val="0"/>
          <w:numId w:val="3"/>
        </w:numPr>
        <w:spacing w:after="80"/>
      </w:pPr>
      <w:r>
        <w:rPr>
          <w:rFonts w:ascii="Calibri" w:cs="Calibri" w:eastAsia="Calibri" w:hAnsi="Calibri"/>
          <w:color w:val="333333"/>
          <w:sz w:val="22"/>
          <w:szCs w:val="22"/>
        </w:rPr>
        <w:t xml:space="preserve">Review implications of SEC v. Ooki DAO (CFTC enforcement, 2022) and SEC enforcement against other DAOs.</w:t>
      </w:r>
    </w:p>
    <w:p>
      <w:pPr>
        <w:pStyle w:val="Heading2"/>
        <w:spacing w:before="240" w:after="120"/>
      </w:pPr>
      <w:r>
        <w:rPr>
          <w:rFonts w:ascii="Calibri" w:cs="Calibri" w:eastAsia="Calibri" w:hAnsi="Calibri"/>
          <w:b/>
          <w:bCs/>
          <w:color w:val="333333"/>
          <w:sz w:val="26"/>
          <w:szCs w:val="26"/>
        </w:rPr>
        <w:t xml:space="preserve">4.2 Token Allocation and Cap Table</w:t>
      </w:r>
    </w:p>
    <w:p>
      <w:pPr>
        <w:spacing w:after="120"/>
      </w:pPr>
      <w:r>
        <w:rPr>
          <w:rFonts w:ascii="Calibri" w:cs="Calibri" w:eastAsia="Calibri" w:hAnsi="Calibri"/>
          <w:color w:val="333333"/>
          <w:sz w:val="22"/>
          <w:szCs w:val="22"/>
        </w:rPr>
        <w:t xml:space="preserve">The Operating Agreement contains a proposed token allocation (51% Founder, 15% Team, 20% Treasury, 10% Community, 4% Investors). Attorney should:</w:t>
      </w:r>
    </w:p>
    <w:p>
      <w:pPr>
        <w:pStyle w:val="ListParagraph"/>
        <w:numPr>
          <w:ilvl w:val="0"/>
          <w:numId w:val="3"/>
        </w:numPr>
        <w:spacing w:after="80"/>
      </w:pPr>
      <w:r>
        <w:rPr>
          <w:rFonts w:ascii="Calibri" w:cs="Calibri" w:eastAsia="Calibri" w:hAnsi="Calibri"/>
          <w:color w:val="333333"/>
          <w:sz w:val="22"/>
          <w:szCs w:val="22"/>
        </w:rPr>
        <w:t xml:space="preserve">Confirm these percentages align with fundraising strategy and investor expectations.</w:t>
      </w:r>
    </w:p>
    <w:p>
      <w:pPr>
        <w:pStyle w:val="ListParagraph"/>
        <w:numPr>
          <w:ilvl w:val="0"/>
          <w:numId w:val="3"/>
        </w:numPr>
        <w:spacing w:after="80"/>
      </w:pPr>
      <w:r>
        <w:rPr>
          <w:rFonts w:ascii="Calibri" w:cs="Calibri" w:eastAsia="Calibri" w:hAnsi="Calibri"/>
          <w:color w:val="333333"/>
          <w:sz w:val="22"/>
          <w:szCs w:val="22"/>
        </w:rPr>
        <w:t xml:space="preserve">Review vesting schedules (4-year, 1-year cliff) for market appropriateness.</w:t>
      </w:r>
    </w:p>
    <w:p>
      <w:pPr>
        <w:pStyle w:val="ListParagraph"/>
        <w:numPr>
          <w:ilvl w:val="0"/>
          <w:numId w:val="3"/>
        </w:numPr>
        <w:spacing w:after="80"/>
      </w:pPr>
      <w:r>
        <w:rPr>
          <w:rFonts w:ascii="Calibri" w:cs="Calibri" w:eastAsia="Calibri" w:hAnsi="Calibri"/>
          <w:color w:val="333333"/>
          <w:sz w:val="22"/>
          <w:szCs w:val="22"/>
        </w:rPr>
        <w:t xml:space="preserve">Evaluate interaction between GROW tokens and any SAFE or convertible note instruments.</w:t>
      </w:r>
    </w:p>
    <w:p>
      <w:pPr>
        <w:pStyle w:val="ListParagraph"/>
        <w:numPr>
          <w:ilvl w:val="0"/>
          <w:numId w:val="3"/>
        </w:numPr>
        <w:spacing w:after="80"/>
      </w:pPr>
      <w:r>
        <w:rPr>
          <w:rFonts w:ascii="Calibri" w:cs="Calibri" w:eastAsia="Calibri" w:hAnsi="Calibri"/>
          <w:color w:val="333333"/>
          <w:sz w:val="22"/>
          <w:szCs w:val="22"/>
        </w:rPr>
        <w:t xml:space="preserve">Consider anti-dilution protections and preemptive rights for early investors.</w:t>
      </w:r>
    </w:p>
    <w:p>
      <w:pPr>
        <w:pStyle w:val="Heading2"/>
        <w:spacing w:before="240" w:after="120"/>
      </w:pPr>
      <w:r>
        <w:rPr>
          <w:rFonts w:ascii="Calibri" w:cs="Calibri" w:eastAsia="Calibri" w:hAnsi="Calibri"/>
          <w:b/>
          <w:bCs/>
          <w:color w:val="333333"/>
          <w:sz w:val="26"/>
          <w:szCs w:val="26"/>
        </w:rPr>
        <w:t xml:space="preserve">4.3 Fiduciary Duty Modifications</w:t>
      </w:r>
    </w:p>
    <w:p>
      <w:pPr>
        <w:spacing w:after="120"/>
      </w:pPr>
      <w:r>
        <w:rPr>
          <w:rFonts w:ascii="Calibri" w:cs="Calibri" w:eastAsia="Calibri" w:hAnsi="Calibri"/>
          <w:color w:val="333333"/>
          <w:sz w:val="22"/>
          <w:szCs w:val="22"/>
        </w:rPr>
        <w:t xml:space="preserve">W.S. 17-31-106(a) permits DAOs to "define, reduce, or eliminate" fiduciary duties. Our Operating Agreement modifies but does not eliminate duties. Attorney should:</w:t>
      </w:r>
    </w:p>
    <w:p>
      <w:pPr>
        <w:pStyle w:val="ListParagraph"/>
        <w:numPr>
          <w:ilvl w:val="0"/>
          <w:numId w:val="3"/>
        </w:numPr>
        <w:spacing w:after="80"/>
      </w:pPr>
      <w:r>
        <w:rPr>
          <w:rFonts w:ascii="Calibri" w:cs="Calibri" w:eastAsia="Calibri" w:hAnsi="Calibri"/>
          <w:color w:val="333333"/>
          <w:sz w:val="22"/>
          <w:szCs w:val="22"/>
        </w:rPr>
        <w:t xml:space="preserve">Confirm the scope of fiduciary duty modifications is appropriate and enforceable.</w:t>
      </w:r>
    </w:p>
    <w:p>
      <w:pPr>
        <w:pStyle w:val="ListParagraph"/>
        <w:numPr>
          <w:ilvl w:val="0"/>
          <w:numId w:val="3"/>
        </w:numPr>
        <w:spacing w:after="80"/>
      </w:pPr>
      <w:r>
        <w:rPr>
          <w:rFonts w:ascii="Calibri" w:cs="Calibri" w:eastAsia="Calibri" w:hAnsi="Calibri"/>
          <w:color w:val="333333"/>
          <w:sz w:val="22"/>
          <w:szCs w:val="22"/>
        </w:rPr>
        <w:t xml:space="preserve">Evaluate whether the on-chain voting safe harbor (Section 6.3) is legally sound.</w:t>
      </w:r>
    </w:p>
    <w:p>
      <w:pPr>
        <w:pStyle w:val="ListParagraph"/>
        <w:numPr>
          <w:ilvl w:val="0"/>
          <w:numId w:val="3"/>
        </w:numPr>
        <w:spacing w:after="80"/>
      </w:pPr>
      <w:r>
        <w:rPr>
          <w:rFonts w:ascii="Calibri" w:cs="Calibri" w:eastAsia="Calibri" w:hAnsi="Calibri"/>
          <w:color w:val="333333"/>
          <w:sz w:val="22"/>
          <w:szCs w:val="22"/>
        </w:rPr>
        <w:t xml:space="preserve">Consider Delaware and other state law comparisons for duty of care/loyalty standards.</w:t>
      </w:r>
    </w:p>
    <w:p>
      <w:pPr>
        <w:pStyle w:val="Heading2"/>
        <w:spacing w:before="240" w:after="120"/>
      </w:pPr>
      <w:r>
        <w:rPr>
          <w:rFonts w:ascii="Calibri" w:cs="Calibri" w:eastAsia="Calibri" w:hAnsi="Calibri"/>
          <w:b/>
          <w:bCs/>
          <w:color w:val="333333"/>
          <w:sz w:val="26"/>
          <w:szCs w:val="26"/>
        </w:rPr>
        <w:t xml:space="preserve">4.4 Smart Contract and Audit</w:t>
      </w:r>
    </w:p>
    <w:p>
      <w:pPr>
        <w:spacing w:after="120"/>
      </w:pPr>
      <w:r>
        <w:rPr>
          <w:rFonts w:ascii="Calibri" w:cs="Calibri" w:eastAsia="Calibri" w:hAnsi="Calibri"/>
          <w:color w:val="333333"/>
          <w:sz w:val="22"/>
          <w:szCs w:val="22"/>
        </w:rPr>
        <w:t xml:space="preserve">The enclosed Solidity smart contract is a draft implementing the governance framework, targeted for deployment on Avalanche C-Chain (EVM-compatible, no modifications needed). GrowDirect will also operate an Avalanche validator node with a 3,000 AVAX treasury stake (~$26,700 at Feb 2026 prices), earning up to 7.65% APY with no slashing risk. Before deployment:</w:t>
      </w:r>
    </w:p>
    <w:p>
      <w:pPr>
        <w:pStyle w:val="ListParagraph"/>
        <w:numPr>
          <w:ilvl w:val="0"/>
          <w:numId w:val="3"/>
        </w:numPr>
        <w:spacing w:after="80"/>
      </w:pPr>
      <w:r>
        <w:rPr>
          <w:rFonts w:ascii="Calibri" w:cs="Calibri" w:eastAsia="Calibri" w:hAnsi="Calibri"/>
          <w:color w:val="333333"/>
          <w:sz w:val="22"/>
          <w:szCs w:val="22"/>
        </w:rPr>
        <w:t xml:space="preserve">A professional smart contract security audit is required (OpenZeppelin, Trail of Bits, Consensys Diligence recommended).</w:t>
      </w:r>
    </w:p>
    <w:p>
      <w:pPr>
        <w:pStyle w:val="ListParagraph"/>
        <w:numPr>
          <w:ilvl w:val="0"/>
          <w:numId w:val="3"/>
        </w:numPr>
        <w:spacing w:after="80"/>
      </w:pPr>
      <w:r>
        <w:rPr>
          <w:rFonts w:ascii="Calibri" w:cs="Calibri" w:eastAsia="Calibri" w:hAnsi="Calibri"/>
          <w:color w:val="333333"/>
          <w:sz w:val="22"/>
          <w:szCs w:val="22"/>
        </w:rPr>
        <w:t xml:space="preserve">The UUPS upgradeable proxy pattern satisfies W.S. 17-31-106(d) but introduces upgrade authority risks.</w:t>
      </w:r>
    </w:p>
    <w:p>
      <w:pPr>
        <w:pStyle w:val="ListParagraph"/>
        <w:numPr>
          <w:ilvl w:val="0"/>
          <w:numId w:val="3"/>
        </w:numPr>
        <w:spacing w:after="80"/>
      </w:pPr>
      <w:r>
        <w:rPr>
          <w:rFonts w:ascii="Calibri" w:cs="Calibri" w:eastAsia="Calibri" w:hAnsi="Calibri"/>
          <w:color w:val="333333"/>
          <w:sz w:val="22"/>
          <w:szCs w:val="22"/>
        </w:rPr>
        <w:t xml:space="preserve">The contract address must be filed as an amendment within 30 days of formation (W.S. 17-31-104(c)).</w:t>
      </w:r>
    </w:p>
    <w:p>
      <w:pPr>
        <w:pStyle w:val="Heading2"/>
        <w:spacing w:before="240" w:after="120"/>
      </w:pPr>
      <w:r>
        <w:rPr>
          <w:rFonts w:ascii="Calibri" w:cs="Calibri" w:eastAsia="Calibri" w:hAnsi="Calibri"/>
          <w:b/>
          <w:bCs/>
          <w:color w:val="333333"/>
          <w:sz w:val="26"/>
          <w:szCs w:val="26"/>
        </w:rPr>
        <w:t xml:space="preserve">4.5 Tax Structure</w:t>
      </w:r>
    </w:p>
    <w:p>
      <w:pPr>
        <w:spacing w:after="120"/>
      </w:pPr>
      <w:r>
        <w:rPr>
          <w:rFonts w:ascii="Calibri" w:cs="Calibri" w:eastAsia="Calibri" w:hAnsi="Calibri"/>
          <w:color w:val="333333"/>
          <w:sz w:val="22"/>
          <w:szCs w:val="22"/>
        </w:rPr>
        <w:t xml:space="preserve">Attorney and/or CPA should advise on:</w:t>
      </w:r>
    </w:p>
    <w:p>
      <w:pPr>
        <w:pStyle w:val="ListParagraph"/>
        <w:numPr>
          <w:ilvl w:val="0"/>
          <w:numId w:val="3"/>
        </w:numPr>
        <w:spacing w:after="80"/>
      </w:pPr>
      <w:r>
        <w:rPr>
          <w:rFonts w:ascii="Calibri" w:cs="Calibri" w:eastAsia="Calibri" w:hAnsi="Calibri"/>
          <w:color w:val="333333"/>
          <w:sz w:val="22"/>
          <w:szCs w:val="22"/>
        </w:rPr>
        <w:t xml:space="preserve">Optimal entity classification: disregarded entity (single member), partnership (multi-member), or corporate (check-the-box election).</w:t>
      </w:r>
    </w:p>
    <w:p>
      <w:pPr>
        <w:pStyle w:val="ListParagraph"/>
        <w:numPr>
          <w:ilvl w:val="0"/>
          <w:numId w:val="3"/>
        </w:numPr>
        <w:spacing w:after="80"/>
      </w:pPr>
      <w:r>
        <w:rPr>
          <w:rFonts w:ascii="Calibri" w:cs="Calibri" w:eastAsia="Calibri" w:hAnsi="Calibri"/>
          <w:color w:val="333333"/>
          <w:sz w:val="22"/>
          <w:szCs w:val="22"/>
        </w:rPr>
        <w:t xml:space="preserve">Bitcoin treasury tax treatment: IRS Notice 2014-21, Rev. Rul. 2019-24, and proposed regulations.</w:t>
      </w:r>
    </w:p>
    <w:p>
      <w:pPr>
        <w:pStyle w:val="ListParagraph"/>
        <w:numPr>
          <w:ilvl w:val="0"/>
          <w:numId w:val="3"/>
        </w:numPr>
        <w:spacing w:after="80"/>
      </w:pPr>
      <w:r>
        <w:rPr>
          <w:rFonts w:ascii="Calibri" w:cs="Calibri" w:eastAsia="Calibri" w:hAnsi="Calibri"/>
          <w:color w:val="333333"/>
          <w:sz w:val="22"/>
          <w:szCs w:val="22"/>
        </w:rPr>
        <w:t xml:space="preserve">State tax implications in California (where founder is based) and Wyoming.</w:t>
      </w:r>
    </w:p>
    <w:p>
      <w:pPr>
        <w:pStyle w:val="ListParagraph"/>
        <w:numPr>
          <w:ilvl w:val="0"/>
          <w:numId w:val="3"/>
        </w:numPr>
        <w:spacing w:after="80"/>
      </w:pPr>
      <w:r>
        <w:rPr>
          <w:rFonts w:ascii="Calibri" w:cs="Calibri" w:eastAsia="Calibri" w:hAnsi="Calibri"/>
          <w:color w:val="333333"/>
          <w:sz w:val="22"/>
          <w:szCs w:val="22"/>
        </w:rPr>
        <w:t xml:space="preserve">Lightning Network payment tax treatment for merchant-facing micropayments.</w:t>
      </w:r>
    </w:p>
    <w:p>
      <w:pPr>
        <w:pStyle w:val="Heading2"/>
        <w:spacing w:before="240" w:after="120"/>
      </w:pPr>
      <w:r>
        <w:rPr>
          <w:rFonts w:ascii="Calibri" w:cs="Calibri" w:eastAsia="Calibri" w:hAnsi="Calibri"/>
          <w:b/>
          <w:bCs/>
          <w:color w:val="333333"/>
          <w:sz w:val="26"/>
          <w:szCs w:val="26"/>
        </w:rPr>
        <w:t xml:space="preserve">4.6 Registered Agent</w:t>
      </w:r>
    </w:p>
    <w:p>
      <w:pPr>
        <w:spacing w:after="120"/>
      </w:pPr>
      <w:r>
        <w:rPr>
          <w:rFonts w:ascii="Calibri" w:cs="Calibri" w:eastAsia="Calibri" w:hAnsi="Calibri"/>
          <w:color w:val="333333"/>
          <w:sz w:val="22"/>
          <w:szCs w:val="22"/>
        </w:rPr>
        <w:t xml:space="preserve">A Wyoming registered agent must be designated before filing. We recommend the attorney select or recommend one. The filing checklist includes options.</w:t>
      </w:r>
    </w:p>
    <w:p>
      <w:pPr>
        <w:pStyle w:val="Heading2"/>
        <w:spacing w:before="240" w:after="120"/>
      </w:pPr>
      <w:r>
        <w:rPr>
          <w:rFonts w:ascii="Calibri" w:cs="Calibri" w:eastAsia="Calibri" w:hAnsi="Calibri"/>
          <w:b/>
          <w:bCs/>
          <w:color w:val="333333"/>
          <w:sz w:val="26"/>
          <w:szCs w:val="26"/>
        </w:rPr>
        <w:t xml:space="preserve">4.7 FinCEN Beneficial Ownership Information (BOI)</w:t>
      </w:r>
    </w:p>
    <w:p>
      <w:pPr>
        <w:spacing w:after="120"/>
      </w:pPr>
      <w:r>
        <w:rPr>
          <w:rFonts w:ascii="Calibri" w:cs="Calibri" w:eastAsia="Calibri" w:hAnsi="Calibri"/>
          <w:color w:val="333333"/>
          <w:sz w:val="22"/>
          <w:szCs w:val="22"/>
        </w:rPr>
        <w:t xml:space="preserve">Under the Corporate Transparency Act, the Company must file a BOI report with FinCEN within 30 days of formation identifying beneficial owners. Attorney should confirm current BOI reporting requirements given evolving enforcement status.</w:t>
      </w:r>
    </w:p>
    <w:p>
      <w:pPr>
        <w:pStyle w:val="Heading1"/>
        <w:spacing w:before="300" w:after="150"/>
      </w:pPr>
      <w:r>
        <w:rPr>
          <w:rFonts w:ascii="Calibri" w:cs="Calibri" w:eastAsia="Calibri" w:hAnsi="Calibri"/>
          <w:b/>
          <w:bCs/>
          <w:color w:val="D4A017"/>
          <w:sz w:val="32"/>
          <w:szCs w:val="32"/>
        </w:rPr>
        <w:t xml:space="preserve">5. What We Need from Counsel</w:t>
      </w:r>
    </w:p>
    <w:p>
      <w:pPr>
        <w:pStyle w:val="ListParagraph"/>
        <w:numPr>
          <w:ilvl w:val="0"/>
          <w:numId w:val="2"/>
        </w:numPr>
        <w:spacing w:after="80"/>
      </w:pPr>
      <w:r>
        <w:rPr>
          <w:rFonts w:ascii="Calibri" w:cs="Calibri" w:eastAsia="Calibri" w:hAnsi="Calibri"/>
          <w:color w:val="333333"/>
          <w:sz w:val="22"/>
          <w:szCs w:val="22"/>
        </w:rPr>
        <w:t xml:space="preserve">Review and finalize all enclosed documents (Articles, Operating Agreement, Smart Contract).</w:t>
      </w:r>
    </w:p>
    <w:p>
      <w:pPr>
        <w:pStyle w:val="ListParagraph"/>
        <w:numPr>
          <w:ilvl w:val="0"/>
          <w:numId w:val="2"/>
        </w:numPr>
        <w:spacing w:after="80"/>
      </w:pPr>
      <w:r>
        <w:rPr>
          <w:rFonts w:ascii="Calibri" w:cs="Calibri" w:eastAsia="Calibri" w:hAnsi="Calibri"/>
          <w:color w:val="333333"/>
          <w:sz w:val="22"/>
          <w:szCs w:val="22"/>
        </w:rPr>
        <w:t xml:space="preserve">Provide a Howey analysis memorandum for the GROW governance token.</w:t>
      </w:r>
    </w:p>
    <w:p>
      <w:pPr>
        <w:pStyle w:val="ListParagraph"/>
        <w:numPr>
          <w:ilvl w:val="0"/>
          <w:numId w:val="2"/>
        </w:numPr>
        <w:spacing w:after="80"/>
      </w:pPr>
      <w:r>
        <w:rPr>
          <w:rFonts w:ascii="Calibri" w:cs="Calibri" w:eastAsia="Calibri" w:hAnsi="Calibri"/>
          <w:color w:val="333333"/>
          <w:sz w:val="22"/>
          <w:szCs w:val="22"/>
        </w:rPr>
        <w:t xml:space="preserve">Recommend and engage a Wyoming registered agent.</w:t>
      </w:r>
    </w:p>
    <w:p>
      <w:pPr>
        <w:pStyle w:val="ListParagraph"/>
        <w:numPr>
          <w:ilvl w:val="0"/>
          <w:numId w:val="2"/>
        </w:numPr>
        <w:spacing w:after="80"/>
      </w:pPr>
      <w:r>
        <w:rPr>
          <w:rFonts w:ascii="Calibri" w:cs="Calibri" w:eastAsia="Calibri" w:hAnsi="Calibri"/>
          <w:color w:val="333333"/>
          <w:sz w:val="22"/>
          <w:szCs w:val="22"/>
        </w:rPr>
        <w:t xml:space="preserve">File the Articles of Organization with the Wyoming Secretary of State.</w:t>
      </w:r>
    </w:p>
    <w:p>
      <w:pPr>
        <w:pStyle w:val="ListParagraph"/>
        <w:numPr>
          <w:ilvl w:val="0"/>
          <w:numId w:val="2"/>
        </w:numPr>
        <w:spacing w:after="80"/>
      </w:pPr>
      <w:r>
        <w:rPr>
          <w:rFonts w:ascii="Calibri" w:cs="Calibri" w:eastAsia="Calibri" w:hAnsi="Calibri"/>
          <w:color w:val="333333"/>
          <w:sz w:val="22"/>
          <w:szCs w:val="22"/>
        </w:rPr>
        <w:t xml:space="preserve">Obtain the EIN from IRS (or advise if CPA should handle).</w:t>
      </w:r>
    </w:p>
    <w:p>
      <w:pPr>
        <w:pStyle w:val="ListParagraph"/>
        <w:numPr>
          <w:ilvl w:val="0"/>
          <w:numId w:val="2"/>
        </w:numPr>
        <w:spacing w:after="80"/>
      </w:pPr>
      <w:r>
        <w:rPr>
          <w:rFonts w:ascii="Calibri" w:cs="Calibri" w:eastAsia="Calibri" w:hAnsi="Calibri"/>
          <w:color w:val="333333"/>
          <w:sz w:val="22"/>
          <w:szCs w:val="22"/>
        </w:rPr>
        <w:t xml:space="preserve">Advise on tax entity election (partnership vs. corporate treatment).</w:t>
      </w:r>
    </w:p>
    <w:p>
      <w:pPr>
        <w:pStyle w:val="ListParagraph"/>
        <w:numPr>
          <w:ilvl w:val="0"/>
          <w:numId w:val="2"/>
        </w:numPr>
        <w:spacing w:after="80"/>
      </w:pPr>
      <w:r>
        <w:rPr>
          <w:rFonts w:ascii="Calibri" w:cs="Calibri" w:eastAsia="Calibri" w:hAnsi="Calibri"/>
          <w:color w:val="333333"/>
          <w:sz w:val="22"/>
          <w:szCs w:val="22"/>
        </w:rPr>
        <w:t xml:space="preserve">File the Articles Amendment with the smart contract address (within 30 days of formation).</w:t>
      </w:r>
    </w:p>
    <w:p>
      <w:pPr>
        <w:pStyle w:val="ListParagraph"/>
        <w:numPr>
          <w:ilvl w:val="0"/>
          <w:numId w:val="2"/>
        </w:numPr>
        <w:spacing w:after="80"/>
      </w:pPr>
      <w:r>
        <w:rPr>
          <w:rFonts w:ascii="Calibri" w:cs="Calibri" w:eastAsia="Calibri" w:hAnsi="Calibri"/>
          <w:color w:val="333333"/>
          <w:sz w:val="22"/>
          <w:szCs w:val="22"/>
        </w:rPr>
        <w:t xml:space="preserve">File the BOI report with FinCEN.</w:t>
      </w:r>
    </w:p>
    <w:p>
      <w:pPr>
        <w:pStyle w:val="ListParagraph"/>
        <w:numPr>
          <w:ilvl w:val="0"/>
          <w:numId w:val="2"/>
        </w:numPr>
        <w:spacing w:after="80"/>
      </w:pPr>
      <w:r>
        <w:rPr>
          <w:rFonts w:ascii="Calibri" w:cs="Calibri" w:eastAsia="Calibri" w:hAnsi="Calibri"/>
          <w:color w:val="333333"/>
          <w:sz w:val="22"/>
          <w:szCs w:val="22"/>
        </w:rPr>
        <w:t xml:space="preserve">Recommend a smart contract auditor and coordinate the audit timeline.</w:t>
      </w:r>
    </w:p>
    <w:p>
      <w:pPr>
        <w:pStyle w:val="Heading1"/>
        <w:spacing w:before="300" w:after="150"/>
      </w:pPr>
      <w:r>
        <w:rPr>
          <w:rFonts w:ascii="Calibri" w:cs="Calibri" w:eastAsia="Calibri" w:hAnsi="Calibri"/>
          <w:b/>
          <w:bCs/>
          <w:color w:val="D4A017"/>
          <w:sz w:val="32"/>
          <w:szCs w:val="32"/>
        </w:rPr>
        <w:t xml:space="preserve">6. Requested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r>
              <w:rPr>
                <w:rFonts w:ascii="Calibri" w:cs="Calibri" w:eastAsia="Calibri" w:hAnsi="Calibri"/>
                <w:b/>
                <w:bCs/>
                <w:color w:val="FFFFFF"/>
                <w:sz w:val="20"/>
                <w:szCs w:val="20"/>
              </w:rPr>
              <w:t xml:space="preserve">Week</w:t>
            </w:r>
          </w:p>
        </w:tc>
        <w:tc>
          <w:tcPr>
            <w:tcW w:type="dxa" w:w="400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r>
              <w:rPr>
                <w:rFonts w:ascii="Calibri" w:cs="Calibri" w:eastAsia="Calibri" w:hAnsi="Calibri"/>
                <w:b/>
                <w:bCs/>
                <w:color w:val="FFFFFF"/>
                <w:sz w:val="20"/>
                <w:szCs w:val="20"/>
              </w:rPr>
              <w:t xml:space="preserve">Milestone</w:t>
            </w:r>
          </w:p>
        </w:tc>
        <w:tc>
          <w:tcPr>
            <w:tcW w:type="dxa" w:w="376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r>
              <w:rPr>
                <w:rFonts w:ascii="Calibri" w:cs="Calibri" w:eastAsia="Calibri" w:hAnsi="Calibri"/>
                <w:b/>
                <w:bCs/>
                <w:color w:val="FFFFFF"/>
                <w:sz w:val="20"/>
                <w:szCs w:val="20"/>
              </w:rPr>
              <w:t xml:space="preserve">Owner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Week 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Attorney review of package, engagement letter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Attorney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Week 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Finalize Articles + select registered agent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Attorney + Jeffe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Week 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File Articles with Wyoming SOS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Attorney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Week 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Apply for EIN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Attorney/CPA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Week 3-4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Howey analysis memo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Securities counsel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Week 4-6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Smart contract audit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Auditor (attorney coordinates)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Week 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File BOI report with FinCEN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Attorney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Week 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Deploy smart contract + file Articles Amendment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Jeremy + Attorney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Week 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Open bank account + set up treasury wallet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Jeffe + Jeremy</w:t>
            </w:r>
          </w:p>
        </w:tc>
      </w:tr>
    </w:tbl>
    <w:p>
      <w:pPr>
        <w:pStyle w:val="Heading1"/>
        <w:spacing w:before="300" w:after="150"/>
      </w:pPr>
      <w:r>
        <w:rPr>
          <w:rFonts w:ascii="Calibri" w:cs="Calibri" w:eastAsia="Calibri" w:hAnsi="Calibri"/>
          <w:b/>
          <w:bCs/>
          <w:color w:val="D4A017"/>
          <w:sz w:val="32"/>
          <w:szCs w:val="32"/>
        </w:rPr>
        <w:t xml:space="preserve">7. Closing Notes</w:t>
      </w:r>
    </w:p>
    <w:p>
      <w:pPr>
        <w:spacing w:after="120"/>
      </w:pPr>
      <w:r>
        <w:rPr>
          <w:rFonts w:ascii="Calibri" w:cs="Calibri" w:eastAsia="Calibri" w:hAnsi="Calibri"/>
          <w:color w:val="333333"/>
          <w:sz w:val="22"/>
          <w:szCs w:val="22"/>
        </w:rPr>
        <w:t xml:space="preserve">This package represents a thorough internal preparation effort designed to minimize outside counsel hours while ensuring nothing critical is missed. We are not asking counsel to draft from scratch — we are asking counsel to review, refine, and take over the filing.</w:t>
      </w:r>
    </w:p>
    <w:p>
      <w:pPr>
        <w:spacing w:after="120"/>
      </w:pPr>
      <w:r>
        <w:rPr>
          <w:rFonts w:ascii="Calibri" w:cs="Calibri" w:eastAsia="Calibri" w:hAnsi="Calibri"/>
          <w:color w:val="333333"/>
          <w:sz w:val="22"/>
          <w:szCs w:val="22"/>
        </w:rPr>
        <w:t xml:space="preserve">The founder is available for calls at any time. Please direct all communications to:</w:t>
      </w:r>
    </w:p>
    <w:p>
      <w:pPr>
        <w:spacing w:before="200"/>
      </w:pPr>
    </w:p>
    <w:p>
      <w:pPr>
        <w:spacing w:after="100"/>
      </w:pPr>
      <w:r>
        <w:rPr>
          <w:rFonts w:ascii="Calibri" w:cs="Calibri" w:eastAsia="Calibri" w:hAnsi="Calibri"/>
          <w:b/>
          <w:bCs/>
          <w:color w:val="333333"/>
          <w:sz w:val="22"/>
          <w:szCs w:val="22"/>
        </w:rPr>
        <w:t xml:space="preserve">Geoffrey C. Lyle</w:t>
      </w:r>
      <w:r>
        <w:rPr>
          <w:rFonts w:ascii="Calibri" w:cs="Calibri" w:eastAsia="Calibri" w:hAnsi="Calibri"/>
          <w:color w:val="333333"/>
          <w:sz w:val="22"/>
          <w:szCs w:val="22"/>
        </w:rPr>
        <w:t xml:space="preserve"/>
      </w:r>
    </w:p>
    <w:p>
      <w:pPr>
        <w:spacing w:after="100"/>
      </w:pPr>
      <w:r>
        <w:rPr>
          <w:rFonts w:ascii="Calibri" w:cs="Calibri" w:eastAsia="Calibri" w:hAnsi="Calibri"/>
          <w:b/>
          <w:bCs/>
          <w:color w:val="333333"/>
          <w:sz w:val="22"/>
          <w:szCs w:val="22"/>
        </w:rPr>
        <w:t xml:space="preserve">Email: </w:t>
      </w:r>
      <w:r>
        <w:rPr>
          <w:rFonts w:ascii="Calibri" w:cs="Calibri" w:eastAsia="Calibri" w:hAnsi="Calibri"/>
          <w:color w:val="333333"/>
          <w:sz w:val="22"/>
          <w:szCs w:val="22"/>
        </w:rPr>
        <w:t xml:space="preserve">gclyle@growdirect.io</w:t>
      </w:r>
    </w:p>
    <w:p>
      <w:pPr>
        <w:spacing w:after="100"/>
      </w:pPr>
      <w:r>
        <w:rPr>
          <w:rFonts w:ascii="Calibri" w:cs="Calibri" w:eastAsia="Calibri" w:hAnsi="Calibri"/>
          <w:b/>
          <w:bCs/>
          <w:color w:val="333333"/>
          <w:sz w:val="22"/>
          <w:szCs w:val="22"/>
        </w:rPr>
        <w:t xml:space="preserve">Phone: </w:t>
      </w:r>
      <w:r>
        <w:rPr>
          <w:rFonts w:ascii="Calibri" w:cs="Calibri" w:eastAsia="Calibri" w:hAnsi="Calibri"/>
          <w:color w:val="333333"/>
          <w:sz w:val="22"/>
          <w:szCs w:val="22"/>
        </w:rPr>
        <w:t xml:space="preserve">310-905-9272</w:t>
      </w:r>
    </w:p>
    <w:p>
      <w:pPr>
        <w:spacing w:before="400"/>
      </w:pPr>
    </w:p>
    <w:p>
      <w:pPr>
        <w:spacing w:after="120"/>
      </w:pPr>
      <w:r>
        <w:rPr>
          <w:rFonts w:ascii="Calibri" w:cs="Calibri" w:eastAsia="Calibri" w:hAnsi="Calibri"/>
          <w:color w:val="333333"/>
          <w:sz w:val="22"/>
          <w:szCs w:val="22"/>
        </w:rPr>
        <w:t xml:space="preserve">Respectfully submitted,</w:t>
      </w:r>
    </w:p>
    <w:p>
      <w:pPr>
        <w:spacing w:after="120"/>
      </w:pPr>
      <w:r>
        <w:rPr>
          <w:rFonts w:ascii="Calibri" w:cs="Calibri" w:eastAsia="Calibri" w:hAnsi="Calibri"/>
          <w:i/>
          <w:iCs/>
          <w:color w:val="333333"/>
          <w:sz w:val="22"/>
          <w:szCs w:val="22"/>
        </w:rPr>
        <w:t xml:space="preserve">GrowDirect Legal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GrowDirect DAO LLC | Attorney Handoff Memo | 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b/>
        <w:bCs/>
        <w:color w:val="DC2626"/>
        <w:sz w:val="18"/>
        <w:szCs w:val="18"/>
      </w:rPr>
      <w:t xml:space="preserve">PRIVILEGED &amp; CONFIDENTIAL — ATTORNEY-CLIENT WORK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Calibri" w:cs="Calibri" w:eastAsia="Calibri" w:hAnsi="Calibri"/>
      <w:b/>
      <w:bCs/>
      <w:color w:val="D4A017"/>
      <w:sz w:val="32"/>
      <w:szCs w:val="32"/>
    </w:rPr>
  </w:style>
  <w:style w:type="paragraph" w:styleId="Heading2">
    <w:name w:val="Heading 2"/>
    <w:basedOn w:val="Normal"/>
    <w:next w:val="Normal"/>
    <w:qFormat/>
    <w:pPr>
      <w:spacing w:before="180" w:after="18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2026-02-20T01:24:32.258Z</dcterms:created>
  <dcterms:modified xsi:type="dcterms:W3CDTF">2026-02-20T01:24:32.258Z</dcterms:modified>
</cp:coreProperties>
</file>

<file path=docProps/custom.xml><?xml version="1.0" encoding="utf-8"?>
<Properties xmlns="http://schemas.openxmlformats.org/officeDocument/2006/custom-properties" xmlns:vt="http://schemas.openxmlformats.org/officeDocument/2006/docPropsVTypes"/>
</file>