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44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32"/>
                <w:szCs w:val="32"/>
              </w:rPr>
              <w:t xml:space="preserve">동물 인수 · 보호 확인서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유기·구조 동물을 인수할 때 작성하는 문서입니다.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378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인계인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성 명 / 기관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연 락 처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626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 정보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종 / 품종 / 추정 연령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성별 / 중성화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□ 암  □ 수       □ 중성화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발견 장소 · 일시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개체 식별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□ 마이크로칩 ( ________ )  □ 없음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인수 시 상태 (외상·영양·행동 등)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안내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관계 법령에 따른 신고·공고 절차가 필요할 수 있습니다.</w:t>
            </w:r>
          </w:p>
        </w:tc>
      </w:tr>
    </w:tbl>
    <w:p>
      <w:pPr>
        <w:spacing w:after="0" w:before="0" w:line="148" w:lineRule="exact"/>
      </w:pPr>
    </w:p>
    <w:p>
      <w:pPr>
        <w:spacing w:after="0" w:before="0" w:line="580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인계인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인수자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2026-09-08T21:24:16.356Z</dcterms:created>
  <dcterms:modified xsi:type="dcterms:W3CDTF">2026-09-08T21:24:16.356Z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