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800225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35293" w:sz="18" w:space="6"/>
        </w:pBdr>
        <w:spacing w:after="30" w:line="500" w:lineRule="exact"/>
      </w:pPr>
      <w:r>
        <w:rPr>
          <w:rFonts w:ascii="Malgun Gothic" w:eastAsia="Malgun Gothic" w:hAnsi="Malgun Gothic"/>
          <w:b/>
          <w:bCs/>
          <w:color w:val="023A68"/>
          <w:sz w:val="34"/>
          <w:szCs w:val="34"/>
        </w:rPr>
        <w:t xml:space="preserve">영양 평가 · BCS / MCS 기록지</w:t>
      </w:r>
    </w:p>
    <w:p>
      <w:pPr>
        <w:spacing w:after="90" w:line="23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5"/>
          <w:szCs w:val="15"/>
        </w:rPr>
        <w:t xml:space="preserve">WSAVA 영양 평가 가이드라인(2011, JSAP) · 글로벌 영양 툴킷 기반 (참고용) — 모든 환자, 모든 내원 시 스크리닝 / 서식번호 KAHA-F-2603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50"/>
        <w:gridCol w:w="1300"/>
        <w:gridCol w:w="1650"/>
        <w:gridCol w:w="900"/>
        <w:gridCol w:w="1000"/>
        <w:gridCol w:w="900"/>
        <w:gridCol w:w="690"/>
      </w:tblGrid>
      <w:t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동물명 / 차트번호</w:t>
            </w:r>
          </w:p>
        </w:tc>
        <w:tc>
          <w:tcPr>
            <w:tcW w:type="dxa" w:w="17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종 / 품종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연령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중성화</w:t>
            </w:r>
          </w:p>
        </w:tc>
        <w:tc>
          <w:tcPr>
            <w:tcW w:type="dxa" w:w="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예  □ 아니오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1. 식이 이력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2000"/>
        <w:gridCol w:w="26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주식 (제품명 · 형태)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1일 급여량 / 횟수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간식 · 사람 음식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영양제 · 보조제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식욕 변화</w:t>
            </w:r>
          </w:p>
        </w:tc>
        <w:tc>
          <w:tcPr>
            <w:tcW w:type="dxa" w:w="34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 (기간: ______)</w:t>
            </w:r>
          </w:p>
        </w:tc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음수량 변화</w:t>
            </w:r>
          </w:p>
        </w:tc>
        <w:tc>
          <w:tcPr>
            <w:tcW w:type="dxa" w:w="2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없음  □ 증가  □ 감소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2. 체중 및 신체 평가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100"/>
        <w:gridCol w:w="2100"/>
        <w:gridCol w:w="1200"/>
        <w:gridCol w:w="1090"/>
      </w:tblGrid>
      <w:tr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금일 체중(kg)</w:t>
            </w:r>
          </w:p>
        </w:tc>
        <w:tc>
          <w:tcPr>
            <w:tcW w:type="dxa" w:w="1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직전 체중 / 측정일</w:t>
            </w:r>
          </w:p>
        </w:tc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변화율(%)</w:t>
            </w:r>
          </w:p>
        </w:tc>
        <w:tc>
          <w:tcPr>
            <w:tcW w:type="dxa" w:w="1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43"/>
        <w:gridCol w:w="943"/>
        <w:gridCol w:w="943"/>
        <w:gridCol w:w="943"/>
        <w:gridCol w:w="943"/>
        <w:gridCol w:w="943"/>
        <w:gridCol w:w="943"/>
        <w:gridCol w:w="943"/>
        <w:gridCol w:w="946"/>
      </w:tblGrid>
      <w:tr>
        <w:tc>
          <w:tcPr>
            <w:tcW w:type="dxa" w:w="1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color w:val="023A68"/>
                <w:sz w:val="16"/>
                <w:szCs w:val="16"/>
              </w:rPr>
              <w:t xml:space="preserve">BCS (9점)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1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2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3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4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5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6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7</w:t>
            </w:r>
          </w:p>
        </w:tc>
        <w:tc>
          <w:tcPr>
            <w:tcW w:type="dxa" w:w="94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8</w:t>
            </w:r>
          </w:p>
        </w:tc>
        <w:tc>
          <w:tcPr>
            <w:tcW w:type="dxa" w:w="946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6"/>
                <w:szCs w:val="16"/>
              </w:rPr>
              <w:t xml:space="preserve">□ 9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1–3 저체중 · 4–5 이상적 · 6–7 과체중 · 8–9 비만  (갈비뼈 촉진, 허리 라인, 복부 턱업으로 판정)</w:t>
      </w: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90"/>
      </w:tblGrid>
      <w:tr>
        <w:tc>
          <w:tcPr>
            <w:tcW w:type="dxa" w:w="2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MCS (근육상태)</w:t>
            </w:r>
          </w:p>
        </w:tc>
        <w:tc>
          <w:tcPr>
            <w:tcW w:type="dxa" w:w="8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정상      □ 경도 소실      □ 중등도 소실      □ 중증 소실</w:t>
            </w:r>
          </w:p>
        </w:tc>
      </w:tr>
    </w:tbl>
    <w:p>
      <w:pPr>
        <w:spacing w:after="0" w:before="0" w:line="196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척추 · 견갑 · 측두부 · 골반 촉진으로 판정 — 비만 개체도 근소실이 동반될 수 있습니다 (특히 고령 · 만성질환).</w:t>
      </w:r>
    </w:p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3. 위험요인 스크리닝  (하나라도 해당 시 확장 평가)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질병(만성 포함)     □ 고령     □ 비만 / 저체중     □ 수제식 · 생식 · 비전형 식이     □ 피모 · 치아 이상     □ 체중 급변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4. 평가 결과 및 계획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90"/>
      </w:tblGrid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확장 평가 필요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□ 불필요       □ 필요  ( 사유 : ______________________________ )</w:t>
            </w: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권장 사료 · 급여량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목표 체중 · 재평가 일정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c>
          <w:tcPr>
            <w:tcW w:type="dxa" w:w="2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보호자 상담 내용</w:t>
            </w:r>
          </w:p>
        </w:tc>
        <w:tc>
          <w:tcPr>
            <w:tcW w:type="dxa" w:w="7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200"/>
        <w:gridCol w:w="4490"/>
      </w:tblGrid>
      <w:tr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20____년  ____월  ____일</w:t>
            </w:r>
          </w:p>
        </w:tc>
        <w:tc>
          <w:tcPr>
            <w:tcW w:type="dxa" w:w="1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color w:val="231916"/>
                <w:sz w:val="18"/>
                <w:szCs w:val="18"/>
              </w:rPr>
              <w:t xml:space="preserve">평가자</w:t>
            </w:r>
          </w:p>
        </w:tc>
        <w:tc>
          <w:tcPr>
            <w:tcW w:type="dxa" w:w="44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color w:val="231916"/>
                <w:sz w:val="18"/>
                <w:szCs w:val="18"/>
              </w:rPr>
              <w:t xml:space="preserve">성명 : ______________ (서명)</w:t>
            </w:r>
          </w:p>
        </w:tc>
      </w:tr>
    </w:tbl>
    <w:p>
      <w:pPr>
        <w:pBdr>
          <w:top w:val="single" w:color="035293" w:sz="8" w:space="4"/>
        </w:pBdr>
        <w:spacing w:before="80" w:line="210" w:lineRule="exact"/>
      </w:pPr>
      <w:r>
        <w:rPr>
          <w:rFonts w:ascii="Malgun Gothic" w:eastAsia="Malgun Gothic" w:hAnsi="Malgun Gothic"/>
          <w:b w:val="false"/>
          <w:bCs w:val="false"/>
          <w:color w:val="6B7683"/>
          <w:sz w:val="14"/>
          <w:szCs w:val="14"/>
        </w:rPr>
        <w:t xml:space="preserve">사단법인 한국동물병원협회 · 회원병원 실무 소식지 제공 양식 (KAHA-F-2603) — 병원 실정에 맞게 수정 후 사용하십시오.</w:t>
      </w: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2026-08-18T09:19:43.916Z</dcterms:created>
  <dcterms:modified xsi:type="dcterms:W3CDTF">2026-08-18T09:19:43.916Z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