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80022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35293" w:sz="18" w:space="6"/>
        </w:pBdr>
        <w:spacing w:after="30" w:line="500" w:lineRule="exact"/>
      </w:pPr>
      <w:r>
        <w:rPr>
          <w:rFonts w:ascii="Malgun Gothic" w:eastAsia="Malgun Gothic" w:hAnsi="Malgun Gothic"/>
          <w:b/>
          <w:bCs/>
          <w:color w:val="023A68"/>
          <w:sz w:val="34"/>
          <w:szCs w:val="34"/>
        </w:rPr>
        <w:t xml:space="preserve">마취 전 평가 · 모니터링 체크리스트</w:t>
      </w:r>
    </w:p>
    <w:p>
      <w:pPr>
        <w:spacing w:after="90" w:line="23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5"/>
          <w:szCs w:val="15"/>
        </w:rPr>
        <w:t xml:space="preserve">2020 AAHA Anesthesia and Monitoring Guidelines for Dogs and Cats 기반 (aaha.org 전문 무료 공개, 참고용) / 서식번호 KAHA-F-2602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환자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400"/>
        <w:gridCol w:w="2100"/>
        <w:gridCol w:w="1200"/>
        <w:gridCol w:w="1290"/>
      </w:tblGrid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동물명 / 차트번호</w:t>
            </w: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종 / 품종</w:t>
            </w: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체중(kg)</w:t>
            </w:r>
          </w:p>
        </w:tc>
        <w:tc>
          <w:tcPr>
            <w:tcW w:type="dxa" w:w="12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90"/>
      </w:tblGrid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병력 · 현재 투약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신체검사 요약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사전 혈액검사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CBC     □ 혈액화학     □ 전해질     □ 응고계     □ 기타 :</w:t>
            </w:r>
          </w:p>
        </w:tc>
      </w:tr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ASA 분류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Ⅰ 건강  □ Ⅱ 경미한 전신질환  □ Ⅲ 중등도 전신질환  □ Ⅳ 생명 위협  □ Ⅴ 위중  □ E 응급</w:t>
            </w:r>
          </w:p>
        </w:tc>
      </w:tr>
    </w:tbl>
    <w:p>
      <w:pPr>
        <w:spacing w:after="0" w:before="0" w:line="196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※ 등급별 마취 관련 사망 위험(영국 CEPSAF 연구, Brodbelt 등 2008) — 건강 개체(ASA Ⅰ–Ⅱ): 개 0.05% · 고양이 0.11% / 질환 동반(ASA Ⅲ–Ⅴ): 개 1.33% · 고양이 1.40%</w:t>
      </w:r>
    </w:p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마취 전 준비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금식 확인 — 음식 ______ 시간 · 물 ______ 시간   (병원 프로토콜 · AAHA 금식 권고표 참고)</w:t>
            </w:r>
          </w:p>
        </w:tc>
      </w:tr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IV 카테터 장착      □  기관튜브 3종 준비 ( ____ / ____ / ____ )      □  응급약물 용량 사전 계산 · 비치</w:t>
            </w:r>
          </w:p>
        </w:tc>
      </w:tr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마취 회로 · 산소 · 흡인기 점검      □  항불안 처치 필요 여부 평가 (겁 많음 · 공격성)</w:t>
            </w:r>
          </w:p>
        </w:tc>
      </w:tr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보호자 설명 및 동의서 작성 완료 (서식 KAHA-F-2601)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마취 중 모니터링 기록  (15분 간격 권장)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50"/>
        <w:gridCol w:w="950"/>
        <w:gridCol w:w="1050"/>
        <w:gridCol w:w="1050"/>
        <w:gridCol w:w="1250"/>
        <w:gridCol w:w="1050"/>
        <w:gridCol w:w="2690"/>
      </w:tblGrid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시각</w:t>
            </w: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HR</w:t>
            </w: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RR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SpO2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EtCO2</w:t>
            </w: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혈압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체온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마취심도 · 처치 · 비고</w:t>
            </w: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p>
      <w:pPr>
        <w:spacing w:after="0" w:before="0" w:line="196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※ 저체온과 저혈압은 가장 흔한 마취 중 합병증입니다. 조기 인지와 가온 · 수액 대응 프로토콜을 준비하십시오.</w:t>
      </w:r>
    </w:p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회복기 관리  (마취 관련 사망 위험이 높은 구간 — 담당자 지정)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발관 시각 : ________       □  체온 회복 확인 ( ________ ℃ )       □  통증 평가 ( 도구 / 점수 : ____________ )</w:t>
            </w:r>
          </w:p>
        </w:tc>
      </w:tr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의식 · 기립 확인       □  퇴원 전 보호자 주의사항 전달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45"/>
        <w:gridCol w:w="1500"/>
        <w:gridCol w:w="3545"/>
      </w:tblGrid>
      <w:tr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마취 담당</w:t>
            </w:r>
          </w:p>
        </w:tc>
        <w:tc>
          <w:tcPr>
            <w:tcW w:type="dxa" w:w="36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회복기 담당</w:t>
            </w:r>
          </w:p>
        </w:tc>
        <w:tc>
          <w:tcPr>
            <w:tcW w:type="dxa" w:w="35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</w:tr>
    </w:tbl>
    <w:p>
      <w:pPr>
        <w:pBdr>
          <w:top w:val="single" w:color="035293" w:sz="8" w:space="4"/>
        </w:pBdr>
        <w:spacing w:before="80" w:line="21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사단법인 한국동물병원협회 · 회원병원 실무 소식지 제공 양식 (KAHA-F-2602) — 병원 실정에 맞게 수정 후 사용하십시오.</w:t>
      </w: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2026-08-18T09:19:43.893Z</dcterms:created>
  <dcterms:modified xsi:type="dcterms:W3CDTF">2026-08-18T09:19:43.893Z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