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850"/>
        <w:gridCol w:w="9128"/>
      </w:tblGrid>
      <w:tr>
        <w:trPr>
          <w:trHeight w:val="800" w:hRule="exact"/>
        </w:trPr>
        <w:tc>
          <w:tcPr>
            <w:tcW w:type="dxa" w:w="85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160"/>
            </w:tcMar>
            <w:vAlign w:val="center"/>
          </w:tcPr>
          <w:p>
            <w:pPr>
              <w:spacing w:after="0" w:before="0" w:line="800" w:lineRule="exact"/>
            </w:pPr>
            <w:r>
              <w:drawing>
                <wp:inline distT="0" distB="0" distL="0" distR="0">
                  <wp:extent cx="438150" cy="4381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9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38150" cy="4381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912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  <w:vAlign w:val="center"/>
          </w:tcPr>
          <w:p>
            <w:pPr>
              <w:spacing w:after="0" w:before="0" w:line="44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1B3A5C"/>
                <w:sz w:val="32"/>
                <w:szCs w:val="32"/>
              </w:rPr>
              <w:t xml:space="preserve">흉강 천자 및 배액관 설치 동의서</w:t>
            </w:r>
          </w:p>
        </w:tc>
      </w:tr>
    </w:tbl>
    <w:p>
      <w:pPr>
        <w:spacing w:after="0" w:before="100" w:line="240" w:lineRule="exact"/>
      </w:pPr>
      <w:r>
        <w:rPr>
          <w:rFonts w:ascii="Malgun Gothic" w:eastAsia="Malgun Gothic" w:hAnsi="Malgun Gothic"/>
          <w:b w:val="false"/>
          <w:bCs w:val="false"/>
          <w:snapToGrid w:val="false"/>
          <w:color w:val="333333"/>
          <w:sz w:val="16"/>
          <w:szCs w:val="16"/>
        </w:rPr>
        <w:t xml:space="preserve">본 동의서는 「수의사법」 제13조의2 및 같은 법 시행규칙 제13조의3에 따라 작성되었습니다.</w:t>
      </w:r>
    </w:p>
    <w:p>
      <w:pPr>
        <w:spacing w:after="0" w:before="0" w:line="150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474"/>
        <w:gridCol w:w="1701"/>
        <w:gridCol w:w="2551"/>
        <w:gridCol w:w="1701"/>
        <w:gridCol w:w="2551"/>
      </w:tblGrid>
      <w:tr>
        <w:trPr>
          <w:trHeight w:val="431" w:hRule="exact"/>
        </w:trPr>
        <w:tc>
          <w:tcPr>
            <w:tcW w:type="dxa" w:w="1474"/>
            <w:vMerge w:val="restart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before="0" w:line="238" w:lineRule="exact"/>
              <w:jc w:val="center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보호자</w:t>
            </w:r>
          </w:p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성명</w:t>
            </w:r>
          </w:p>
        </w:tc>
        <w:tc>
          <w:tcPr>
            <w:tcW w:type="dxa" w:w="2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연락처</w:t>
            </w:r>
          </w:p>
        </w:tc>
        <w:tc>
          <w:tcPr>
            <w:tcW w:type="dxa" w:w="2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</w:tr>
      <w:tr>
        <w:trPr>
          <w:trHeight w:val="431" w:hRule="exact"/>
        </w:trPr>
        <w:tc>
          <w:tcPr>
            <w:vMerge w:val="continue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</w:tcPr>
          <w:p/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주소</w:t>
            </w:r>
          </w:p>
        </w:tc>
        <w:tc>
          <w:tcPr>
            <w:tcW w:type="dxa" w:w="6803"/>
            <w:gridSpan w:val="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</w:tr>
      <w:tr>
        <w:trPr>
          <w:trHeight w:val="431" w:hRule="exact"/>
        </w:trPr>
        <w:tc>
          <w:tcPr>
            <w:tcW w:type="dxa" w:w="1474"/>
            <w:vMerge w:val="restart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before="0" w:line="238" w:lineRule="exact"/>
              <w:jc w:val="center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반려동물</w:t>
            </w:r>
          </w:p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이름</w:t>
            </w:r>
          </w:p>
        </w:tc>
        <w:tc>
          <w:tcPr>
            <w:tcW w:type="dxa" w:w="2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종 / 품종</w:t>
            </w:r>
          </w:p>
        </w:tc>
        <w:tc>
          <w:tcPr>
            <w:tcW w:type="dxa" w:w="2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</w:tr>
      <w:tr>
        <w:trPr>
          <w:trHeight w:val="431" w:hRule="exact"/>
        </w:trPr>
        <w:tc>
          <w:tcPr>
            <w:vMerge w:val="continue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</w:tcPr>
          <w:p/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성별 / 중성화</w:t>
            </w:r>
          </w:p>
        </w:tc>
        <w:tc>
          <w:tcPr>
            <w:tcW w:type="dxa" w:w="2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연령 / 체중</w:t>
            </w:r>
          </w:p>
        </w:tc>
        <w:tc>
          <w:tcPr>
            <w:tcW w:type="dxa" w:w="2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</w:tr>
      <w:tr>
        <w:trPr>
          <w:trHeight w:val="431" w:hRule="exact"/>
        </w:trPr>
        <w:tc>
          <w:tcPr>
            <w:vMerge w:val="continue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</w:tcPr>
          <w:p/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특이사항</w:t>
            </w:r>
          </w:p>
        </w:tc>
        <w:tc>
          <w:tcPr>
            <w:tcW w:type="dxa" w:w="6803"/>
            <w:gridSpan w:val="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</w:tr>
      <w:tr>
        <w:trPr>
          <w:trHeight w:val="431" w:hRule="exact"/>
        </w:trPr>
        <w:tc>
          <w:tcPr>
            <w:tcW w:type="dxa" w:w="147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before="0" w:line="238" w:lineRule="exact"/>
              <w:jc w:val="center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수의사</w:t>
            </w:r>
          </w:p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동물병원명</w:t>
            </w:r>
          </w:p>
        </w:tc>
        <w:tc>
          <w:tcPr>
            <w:tcW w:type="dxa" w:w="2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수의사 성명</w:t>
            </w:r>
          </w:p>
        </w:tc>
        <w:tc>
          <w:tcPr>
            <w:tcW w:type="dxa" w:w="2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</w:tr>
    </w:tbl>
    <w:p>
      <w:pPr>
        <w:spacing w:after="0" w:before="0" w:line="136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361"/>
        <w:gridCol w:w="3588"/>
        <w:gridCol w:w="80"/>
        <w:gridCol w:w="1361"/>
        <w:gridCol w:w="3588"/>
      </w:tblGrid>
      <w:tr>
        <w:trPr>
          <w:trHeight w:val="510" w:hRule="exact"/>
        </w:trPr>
        <w:tc>
          <w:tcPr>
            <w:tcW w:type="dxa" w:w="136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24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6"/>
                <w:szCs w:val="16"/>
              </w:rPr>
              <w:t xml:space="preserve">진 단 명</w:t>
            </w:r>
          </w:p>
        </w:tc>
        <w:tc>
          <w:tcPr>
            <w:tcW w:type="dxa" w:w="358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24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흉수 · 기흉</w:t>
            </w:r>
          </w:p>
        </w:tc>
        <w:tc>
          <w:tcPr>
            <w:tcW w:type="dxa" w:w="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8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2"/>
                <w:szCs w:val="2"/>
              </w:rPr>
              <w:t xml:space="preserve"/>
            </w:r>
          </w:p>
        </w:tc>
        <w:tc>
          <w:tcPr>
            <w:tcW w:type="dxa" w:w="136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24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6"/>
                <w:szCs w:val="16"/>
              </w:rPr>
              <w:t xml:space="preserve">시행 방법</w:t>
            </w:r>
          </w:p>
        </w:tc>
        <w:tc>
          <w:tcPr>
            <w:tcW w:type="dxa" w:w="358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24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흉강 천자 및 배액관 설치</w:t>
            </w:r>
          </w:p>
        </w:tc>
      </w:tr>
    </w:tbl>
    <w:p>
      <w:pPr>
        <w:spacing w:after="0" w:before="0" w:line="136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928"/>
        <w:gridCol w:w="8050"/>
      </w:tblGrid>
      <w:tr>
        <w:trPr>
          <w:trHeight w:val="1150" w:hRule="exact"/>
        </w:trPr>
        <w:tc>
          <w:tcPr>
            <w:tcW w:type="dxa" w:w="192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before="0" w:line="238" w:lineRule="exact"/>
              <w:jc w:val="center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진료의 필요성 ·</w:t>
            </w:r>
            <w:r>
              <w:br/>
            </w: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방법 및 내용</w:t>
            </w:r>
          </w:p>
        </w:tc>
        <w:tc>
          <w:tcPr>
            <w:tcW w:type="dxa" w:w="80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140"/>
              <w:bottom w:type="dxa" w:w="40"/>
              <w:right w:type="dxa" w:w="100"/>
            </w:tcMar>
            <w:vAlign w:val="center"/>
          </w:tcPr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흉강에 액체나 공기가 차 호흡이 어렵습니다.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흉강에서 내용물을 제거하고 필요 시 배액관을 유치합니다.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 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 </w:t>
            </w:r>
          </w:p>
        </w:tc>
      </w:tr>
    </w:tbl>
    <w:p>
      <w:pPr>
        <w:spacing w:after="0" w:before="0" w:line="136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928"/>
        <w:gridCol w:w="8050"/>
      </w:tblGrid>
      <w:tr>
        <w:trPr>
          <w:trHeight w:val="3184" w:hRule="exact"/>
        </w:trPr>
        <w:tc>
          <w:tcPr>
            <w:tcW w:type="dxa" w:w="192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before="0" w:line="238" w:lineRule="exact"/>
              <w:jc w:val="center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전형적으로</w:t>
            </w:r>
            <w:r>
              <w:br/>
            </w: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발생이 예상되는</w:t>
            </w:r>
            <w:r>
              <w:br/>
            </w: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후유증 또는 부작용</w:t>
            </w:r>
          </w:p>
        </w:tc>
        <w:tc>
          <w:tcPr>
            <w:tcW w:type="dxa" w:w="80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140"/>
              <w:bottom w:type="dxa" w:w="40"/>
              <w:right w:type="dxa" w:w="100"/>
            </w:tcMar>
            <w:vAlign w:val="center"/>
          </w:tcPr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기흉, 출혈, 폐 손상이 발생할 수 있습니다.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배액관 감염, 이탈이 있을 수 있습니다.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원인 질환에 따라 반복 처치가 필요합니다.</w:t>
            </w:r>
          </w:p>
          <w:p>
            <w:pPr>
              <w:spacing w:after="0" w:before="0" w:line="112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8"/>
                <w:szCs w:val="8"/>
              </w:rPr>
              <w:t xml:space="preserve"/>
            </w:r>
          </w:p>
          <w:tbl>
            <w:tblPr>
              <w:tblW w:type="dxa" w:w="7810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586"/>
              <w:gridCol w:w="820"/>
              <w:gridCol w:w="5467"/>
              <w:gridCol w:w="937"/>
            </w:tblGrid>
            <w:tr>
              <w:trPr>
                <w:trHeight w:val="272" w:hRule="exact"/>
              </w:trPr>
              <w:tc>
                <w:tcPr>
                  <w:tcW w:type="dxa" w:w="586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shd w:fill="EFEFEF" w:val="clear"/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196" w:lineRule="exact"/>
                    <w:jc w:val="center"/>
                  </w:pPr>
                  <w:r>
                    <w:rPr>
                      <w:rFonts w:ascii="Malgun Gothic" w:eastAsia="Malgun Gothic" w:hAnsi="Malgun Gothic"/>
                      <w:b/>
                      <w:bCs/>
                      <w:snapToGrid w:val="false"/>
                      <w:color w:val="333333"/>
                      <w:sz w:val="14"/>
                      <w:szCs w:val="14"/>
                    </w:rPr>
                    <w:t xml:space="preserve">체크</w:t>
                  </w:r>
                </w:p>
              </w:tc>
              <w:tc>
                <w:tcPr>
                  <w:tcW w:type="dxa" w:w="820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shd w:fill="EFEFEF" w:val="clear"/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196" w:lineRule="exact"/>
                    <w:jc w:val="center"/>
                  </w:pPr>
                  <w:r>
                    <w:rPr>
                      <w:rFonts w:ascii="Malgun Gothic" w:eastAsia="Malgun Gothic" w:hAnsi="Malgun Gothic"/>
                      <w:b/>
                      <w:bCs/>
                      <w:snapToGrid w:val="false"/>
                      <w:color w:val="333333"/>
                      <w:sz w:val="14"/>
                      <w:szCs w:val="14"/>
                    </w:rPr>
                    <w:t xml:space="preserve">ASA 등급</w:t>
                  </w:r>
                </w:p>
              </w:tc>
              <w:tc>
                <w:tcPr>
                  <w:tcW w:type="dxa" w:w="5467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shd w:fill="EFEFEF" w:val="clear"/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196" w:lineRule="exact"/>
                    <w:jc w:val="center"/>
                  </w:pPr>
                  <w:r>
                    <w:rPr>
                      <w:rFonts w:ascii="Malgun Gothic" w:eastAsia="Malgun Gothic" w:hAnsi="Malgun Gothic"/>
                      <w:b/>
                      <w:bCs/>
                      <w:snapToGrid w:val="false"/>
                      <w:color w:val="333333"/>
                      <w:sz w:val="14"/>
                      <w:szCs w:val="14"/>
                    </w:rPr>
                    <w:t xml:space="preserve">정 의</w:t>
                  </w:r>
                </w:p>
              </w:tc>
              <w:tc>
                <w:tcPr>
                  <w:tcW w:type="dxa" w:w="937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shd w:fill="EFEFEF" w:val="clear"/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196" w:lineRule="exact"/>
                    <w:jc w:val="center"/>
                  </w:pPr>
                  <w:r>
                    <w:rPr>
                      <w:rFonts w:ascii="Malgun Gothic" w:eastAsia="Malgun Gothic" w:hAnsi="Malgun Gothic"/>
                      <w:b/>
                      <w:bCs/>
                      <w:snapToGrid w:val="false"/>
                      <w:color w:val="333333"/>
                      <w:sz w:val="14"/>
                      <w:szCs w:val="14"/>
                    </w:rPr>
                    <w:t xml:space="preserve">사망률(%)</w:t>
                  </w:r>
                </w:p>
              </w:tc>
            </w:tr>
            <w:tr>
              <w:trPr>
                <w:trHeight w:val="272" w:hRule="exact"/>
              </w:trPr>
              <w:tc>
                <w:tcPr>
                  <w:tcW w:type="dxa" w:w="586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196" w:lineRule="exact"/>
                    <w:jc w:val="center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4"/>
                      <w:szCs w:val="14"/>
                    </w:rPr>
                    <w:t xml:space="preserve">□</w:t>
                  </w:r>
                </w:p>
              </w:tc>
              <w:tc>
                <w:tcPr>
                  <w:tcW w:type="dxa" w:w="820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196" w:lineRule="exact"/>
                    <w:jc w:val="center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4"/>
                      <w:szCs w:val="14"/>
                    </w:rPr>
                    <w:t xml:space="preserve">Ⅰ</w:t>
                  </w:r>
                </w:p>
              </w:tc>
              <w:tc>
                <w:tcPr>
                  <w:tcW w:type="dxa" w:w="5467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196" w:lineRule="exact"/>
                    <w:jc w:val="center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4"/>
                      <w:szCs w:val="14"/>
                    </w:rPr>
                    <w:t xml:space="preserve">정상적이고 건강한 개체</w:t>
                  </w:r>
                </w:p>
              </w:tc>
              <w:tc>
                <w:tcPr>
                  <w:tcW w:type="dxa" w:w="937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196" w:lineRule="exact"/>
                    <w:jc w:val="center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4"/>
                      <w:szCs w:val="14"/>
                    </w:rPr>
                    <w:t xml:space="preserve">0.1</w:t>
                  </w:r>
                </w:p>
              </w:tc>
            </w:tr>
            <w:tr>
              <w:trPr>
                <w:trHeight w:val="272" w:hRule="exact"/>
              </w:trPr>
              <w:tc>
                <w:tcPr>
                  <w:tcW w:type="dxa" w:w="586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196" w:lineRule="exact"/>
                    <w:jc w:val="center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4"/>
                      <w:szCs w:val="14"/>
                    </w:rPr>
                    <w:t xml:space="preserve">□</w:t>
                  </w:r>
                </w:p>
              </w:tc>
              <w:tc>
                <w:tcPr>
                  <w:tcW w:type="dxa" w:w="820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196" w:lineRule="exact"/>
                    <w:jc w:val="center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4"/>
                      <w:szCs w:val="14"/>
                    </w:rPr>
                    <w:t xml:space="preserve">Ⅱ</w:t>
                  </w:r>
                </w:p>
              </w:tc>
              <w:tc>
                <w:tcPr>
                  <w:tcW w:type="dxa" w:w="5467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196" w:lineRule="exact"/>
                    <w:jc w:val="center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4"/>
                      <w:szCs w:val="14"/>
                    </w:rPr>
                    <w:t xml:space="preserve">활동을 제한하지 않는 가벼운 전신적 질환</w:t>
                  </w:r>
                </w:p>
              </w:tc>
              <w:tc>
                <w:tcPr>
                  <w:tcW w:type="dxa" w:w="937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196" w:lineRule="exact"/>
                    <w:jc w:val="center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4"/>
                      <w:szCs w:val="14"/>
                    </w:rPr>
                    <w:t xml:space="preserve">1</w:t>
                  </w:r>
                </w:p>
              </w:tc>
            </w:tr>
            <w:tr>
              <w:trPr>
                <w:trHeight w:val="272" w:hRule="exact"/>
              </w:trPr>
              <w:tc>
                <w:tcPr>
                  <w:tcW w:type="dxa" w:w="586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196" w:lineRule="exact"/>
                    <w:jc w:val="center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4"/>
                      <w:szCs w:val="14"/>
                    </w:rPr>
                    <w:t xml:space="preserve">□</w:t>
                  </w:r>
                </w:p>
              </w:tc>
              <w:tc>
                <w:tcPr>
                  <w:tcW w:type="dxa" w:w="820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196" w:lineRule="exact"/>
                    <w:jc w:val="center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4"/>
                      <w:szCs w:val="14"/>
                    </w:rPr>
                    <w:t xml:space="preserve">Ⅲ</w:t>
                  </w:r>
                </w:p>
              </w:tc>
              <w:tc>
                <w:tcPr>
                  <w:tcW w:type="dxa" w:w="5467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196" w:lineRule="exact"/>
                    <w:jc w:val="center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4"/>
                      <w:szCs w:val="14"/>
                    </w:rPr>
                    <w:t xml:space="preserve">활동이 가능한 중증의 전신적 질환</w:t>
                  </w:r>
                </w:p>
              </w:tc>
              <w:tc>
                <w:tcPr>
                  <w:tcW w:type="dxa" w:w="937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196" w:lineRule="exact"/>
                    <w:jc w:val="center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4"/>
                      <w:szCs w:val="14"/>
                    </w:rPr>
                    <w:t xml:space="preserve">10</w:t>
                  </w:r>
                </w:p>
              </w:tc>
            </w:tr>
            <w:tr>
              <w:trPr>
                <w:trHeight w:val="272" w:hRule="exact"/>
              </w:trPr>
              <w:tc>
                <w:tcPr>
                  <w:tcW w:type="dxa" w:w="586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196" w:lineRule="exact"/>
                    <w:jc w:val="center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4"/>
                      <w:szCs w:val="14"/>
                    </w:rPr>
                    <w:t xml:space="preserve">□</w:t>
                  </w:r>
                </w:p>
              </w:tc>
              <w:tc>
                <w:tcPr>
                  <w:tcW w:type="dxa" w:w="820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196" w:lineRule="exact"/>
                    <w:jc w:val="center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4"/>
                      <w:szCs w:val="14"/>
                    </w:rPr>
                    <w:t xml:space="preserve">Ⅳ</w:t>
                  </w:r>
                </w:p>
              </w:tc>
              <w:tc>
                <w:tcPr>
                  <w:tcW w:type="dxa" w:w="5467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196" w:lineRule="exact"/>
                    <w:jc w:val="center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4"/>
                      <w:szCs w:val="14"/>
                    </w:rPr>
                    <w:t xml:space="preserve">지속적으로 생명을 위협하며, 활동이 불가능한 전신적 질환</w:t>
                  </w:r>
                </w:p>
              </w:tc>
              <w:tc>
                <w:tcPr>
                  <w:tcW w:type="dxa" w:w="937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196" w:lineRule="exact"/>
                    <w:jc w:val="center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4"/>
                      <w:szCs w:val="14"/>
                    </w:rPr>
                    <w:t xml:space="preserve">30</w:t>
                  </w:r>
                </w:p>
              </w:tc>
            </w:tr>
            <w:tr>
              <w:trPr>
                <w:trHeight w:val="272" w:hRule="exact"/>
              </w:trPr>
              <w:tc>
                <w:tcPr>
                  <w:tcW w:type="dxa" w:w="586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196" w:lineRule="exact"/>
                    <w:jc w:val="center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4"/>
                      <w:szCs w:val="14"/>
                    </w:rPr>
                    <w:t xml:space="preserve">□</w:t>
                  </w:r>
                </w:p>
              </w:tc>
              <w:tc>
                <w:tcPr>
                  <w:tcW w:type="dxa" w:w="820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196" w:lineRule="exact"/>
                    <w:jc w:val="center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4"/>
                      <w:szCs w:val="14"/>
                    </w:rPr>
                    <w:t xml:space="preserve">Ⅴ</w:t>
                  </w:r>
                </w:p>
              </w:tc>
              <w:tc>
                <w:tcPr>
                  <w:tcW w:type="dxa" w:w="5467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196" w:lineRule="exact"/>
                    <w:jc w:val="center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4"/>
                      <w:szCs w:val="14"/>
                    </w:rPr>
                    <w:t xml:space="preserve">수술과 관계없이 24시간 이내에 사망할 수 있는 빈사 상태</w:t>
                  </w:r>
                </w:p>
              </w:tc>
              <w:tc>
                <w:tcPr>
                  <w:tcW w:type="dxa" w:w="937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196" w:lineRule="exact"/>
                    <w:jc w:val="center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4"/>
                      <w:szCs w:val="14"/>
                    </w:rPr>
                    <w:t xml:space="preserve">50</w:t>
                  </w:r>
                </w:p>
              </w:tc>
            </w:tr>
          </w:tbl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 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 </w:t>
            </w:r>
          </w:p>
        </w:tc>
      </w:tr>
    </w:tbl>
    <w:p>
      <w:pPr>
        <w:spacing w:after="0" w:before="0" w:line="136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928"/>
        <w:gridCol w:w="8050"/>
      </w:tblGrid>
      <w:tr>
        <w:trPr>
          <w:trHeight w:val="1150" w:hRule="exact"/>
        </w:trPr>
        <w:tc>
          <w:tcPr>
            <w:tcW w:type="dxa" w:w="192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before="0" w:line="238" w:lineRule="exact"/>
              <w:jc w:val="center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진료 전후에</w:t>
            </w:r>
            <w:r>
              <w:br/>
            </w: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보호자의</w:t>
            </w:r>
            <w:r>
              <w:br/>
            </w: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준수 및 숙지 사항</w:t>
            </w:r>
          </w:p>
        </w:tc>
        <w:tc>
          <w:tcPr>
            <w:tcW w:type="dxa" w:w="80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140"/>
              <w:bottom w:type="dxa" w:w="40"/>
              <w:right w:type="dxa" w:w="100"/>
            </w:tcMar>
            <w:vAlign w:val="center"/>
          </w:tcPr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배액관 부위를 만지지 않도록 넥카라를 착용해야 합니다.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호흡 상태 변화 시 즉시 알려야 합니다.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 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 </w:t>
            </w:r>
          </w:p>
        </w:tc>
      </w:tr>
    </w:tbl>
    <w:p>
      <w:pPr>
        <w:spacing w:after="0" w:before="0" w:line="180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978"/>
      </w:tblGrid>
      <w:tr>
        <w:trPr>
          <w:trHeight w:val="964" w:hRule="exact"/>
        </w:trPr>
        <w:tc>
          <w:tcPr>
            <w:tcW w:type="dxa" w:w="997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  <w:vAlign w:val="center"/>
          </w:tcPr>
          <w:p>
            <w:pPr>
              <w:spacing w:after="0" w:before="0" w:line="224" w:lineRule="exact"/>
              <w:jc w:val="center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「수의사법」 제13조의2 및 같은 법 시행규칙 제13조의3에 따라 위와 같이 수의사로부터 진료의 필요성 · 방법 · 내용과 전형적으로 예상되는 후유증 및 부작용에 관한 설명을 충분히 듣고 이해하였습니다. 이에 위 진료의 시행에 동의하며, 시행 과정에서 필요한 수의학적 판단과 처리를 담당 수의사에게 위임합니다.</w:t>
            </w:r>
          </w:p>
          <w:p>
            <w:pPr>
              <w:spacing w:after="0" w:before="0" w:line="224" w:lineRule="exact"/>
              <w:jc w:val="center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*기타 내용이 발생할 경우 별지를 포함합니다.</w:t>
            </w:r>
          </w:p>
        </w:tc>
      </w:tr>
    </w:tbl>
    <w:p>
      <w:pPr>
        <w:spacing w:after="0" w:before="0" w:line="150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180"/>
        <w:gridCol w:w="1100"/>
        <w:gridCol w:w="1049"/>
        <w:gridCol w:w="1250"/>
        <w:gridCol w:w="1100"/>
        <w:gridCol w:w="1049"/>
        <w:gridCol w:w="1250"/>
      </w:tblGrid>
      <w:tr>
        <w:trPr>
          <w:trHeight w:val="570" w:hRule="exact"/>
        </w:trPr>
        <w:tc>
          <w:tcPr>
            <w:tcW w:type="dxa" w:w="31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  <w:vAlign w:val="center"/>
          </w:tcPr>
          <w:tbl>
            <w:tblPr>
              <w:tblW w:type="dxa" w:w="3180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400"/>
              <w:gridCol w:w="620"/>
              <w:gridCol w:w="300"/>
              <w:gridCol w:w="620"/>
              <w:gridCol w:w="300"/>
              <w:gridCol w:w="620"/>
              <w:gridCol w:w="300"/>
              <w:gridCol w:w="280"/>
            </w:tblGrid>
            <w:tr>
              <w:trPr>
                <w:trHeight w:val="470" w:hRule="exact"/>
              </w:trPr>
              <w:tc>
                <w:tcPr>
                  <w:tcW w:type="dxa" w:w="40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>20</w:t>
                  </w:r>
                </w:p>
              </w:tc>
              <w:tc>
                <w:tcPr>
                  <w:tcW w:type="dxa" w:w="620"/>
                  <w:tcBorders>
                    <w:top w:val="none" w:color="FFFFFF" w:sz="0"/>
                    <w:left w:val="none" w:color="FFFFFF" w:sz="0"/>
                    <w:bottom w:val="single" w:color="9A9A9A" w:sz="4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/>
                  </w:r>
                </w:p>
              </w:tc>
              <w:tc>
                <w:tcPr>
                  <w:tcW w:type="dxa" w:w="30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>년</w:t>
                  </w:r>
                </w:p>
              </w:tc>
              <w:tc>
                <w:tcPr>
                  <w:tcW w:type="dxa" w:w="620"/>
                  <w:tcBorders>
                    <w:top w:val="none" w:color="FFFFFF" w:sz="0"/>
                    <w:left w:val="none" w:color="FFFFFF" w:sz="0"/>
                    <w:bottom w:val="single" w:color="9A9A9A" w:sz="4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/>
                  </w:r>
                </w:p>
              </w:tc>
              <w:tc>
                <w:tcPr>
                  <w:tcW w:type="dxa" w:w="30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>월</w:t>
                  </w:r>
                </w:p>
              </w:tc>
              <w:tc>
                <w:tcPr>
                  <w:tcW w:type="dxa" w:w="620"/>
                  <w:tcBorders>
                    <w:top w:val="none" w:color="FFFFFF" w:sz="0"/>
                    <w:left w:val="none" w:color="FFFFFF" w:sz="0"/>
                    <w:bottom w:val="single" w:color="9A9A9A" w:sz="4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/>
                  </w:r>
                </w:p>
              </w:tc>
              <w:tc>
                <w:tcPr>
                  <w:tcW w:type="dxa" w:w="30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>일</w:t>
                  </w:r>
                </w:p>
              </w:tc>
              <w:tc>
                <w:tcPr>
                  <w:tcW w:type="dxa" w:w="28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/>
                  </w:r>
                </w:p>
              </w:tc>
            </w:tr>
          </w:tbl>
          <w:p>
            <w:pPr>
              <w:spacing w:after="0" w:before="0" w:line="20" w:lineRule="exact"/>
            </w:pPr>
          </w:p>
        </w:tc>
        <w:tc>
          <w:tcPr>
            <w:tcW w:type="dxa" w:w="11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60"/>
              <w:bottom w:type="dxa" w:w="0"/>
              <w:right w:type="dxa" w:w="6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보호자</w:t>
            </w:r>
          </w:p>
        </w:tc>
        <w:tc>
          <w:tcPr>
            <w:tcW w:type="dxa" w:w="1049"/>
            <w:tcBorders>
              <w:top w:val="dotted" w:color="9A9A9A" w:sz="4"/>
              <w:left w:val="dotted" w:color="9A9A9A" w:sz="4"/>
              <w:bottom w:val="dotted" w:color="9A9A9A" w:sz="4"/>
              <w:right w:val="dotted" w:color="9A9A9A" w:sz="4"/>
            </w:tcBorders>
            <w:tcMar>
              <w:top w:type="dxa" w:w="20"/>
              <w:left w:type="dxa" w:w="60"/>
              <w:bottom w:type="dxa" w:w="20"/>
              <w:right w:type="dxa" w:w="6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7"/>
                <w:szCs w:val="17"/>
              </w:rPr>
              <w:t xml:space="preserve"/>
            </w:r>
          </w:p>
        </w:tc>
        <w:tc>
          <w:tcPr>
            <w:tcW w:type="dxa" w:w="125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60"/>
              <w:bottom w:type="dxa" w:w="0"/>
              <w:right w:type="dxa" w:w="0"/>
            </w:tcMar>
            <w:vAlign w:val="center"/>
          </w:tcPr>
          <w:p>
            <w:pPr>
              <w:spacing w:after="0" w:before="0" w:line="196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767676"/>
                <w:sz w:val="14"/>
                <w:szCs w:val="14"/>
              </w:rPr>
              <w:t xml:space="preserve">(서명 또는 인)</w:t>
            </w:r>
          </w:p>
        </w:tc>
        <w:tc>
          <w:tcPr>
            <w:tcW w:type="dxa" w:w="11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60"/>
              <w:bottom w:type="dxa" w:w="0"/>
              <w:right w:type="dxa" w:w="6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설명 수의사</w:t>
            </w:r>
          </w:p>
        </w:tc>
        <w:tc>
          <w:tcPr>
            <w:tcW w:type="dxa" w:w="1049"/>
            <w:tcBorders>
              <w:top w:val="dotted" w:color="9A9A9A" w:sz="4"/>
              <w:left w:val="dotted" w:color="9A9A9A" w:sz="4"/>
              <w:bottom w:val="dotted" w:color="9A9A9A" w:sz="4"/>
              <w:right w:val="dotted" w:color="9A9A9A" w:sz="4"/>
            </w:tcBorders>
            <w:tcMar>
              <w:top w:type="dxa" w:w="20"/>
              <w:left w:type="dxa" w:w="60"/>
              <w:bottom w:type="dxa" w:w="20"/>
              <w:right w:type="dxa" w:w="6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7"/>
                <w:szCs w:val="17"/>
              </w:rPr>
              <w:t xml:space="preserve"/>
            </w:r>
          </w:p>
        </w:tc>
        <w:tc>
          <w:tcPr>
            <w:tcW w:type="dxa" w:w="125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60"/>
              <w:bottom w:type="dxa" w:w="0"/>
              <w:right w:type="dxa" w:w="0"/>
            </w:tcMar>
            <w:vAlign w:val="center"/>
          </w:tcPr>
          <w:p>
            <w:pPr>
              <w:spacing w:after="0" w:before="0" w:line="196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767676"/>
                <w:sz w:val="14"/>
                <w:szCs w:val="14"/>
              </w:rPr>
              <w:t xml:space="preserve">(서명 또는 인)</w:t>
            </w:r>
          </w:p>
        </w:tc>
      </w:tr>
    </w:tbl>
    <w:p>
      <w:pPr>
        <w:spacing w:after="0" w:before="0" w:line="120" w:lineRule="exact"/>
      </w:pPr>
    </w:p>
    <w:sectPr>
      <w:headerReference w:type="default" r:id="rId7"/>
      <w:footerReference w:type="default" r:id="rId8"/>
      <w:pgSz w:w="11906" w:h="16838" w:orient="portrait"/>
      <w:pgMar w:top="851" w:right="964" w:bottom="1701" w:left="964" w:header="340" w:footer="794" w:gutter="0"/>
      <w:pgBorders w:display="allPages" w:offsetFrom="page" w:zOrder="back">
        <w:top w:val="single" w:color="1B3A5C" w:sz="18" w:space="27"/>
        <w:left w:val="single" w:color="1B3A5C" w:sz="18" w:space="27"/>
        <w:bottom w:val="single" w:color="1B3A5C" w:sz="18" w:space="27"/>
        <w:right w:val="single" w:color="1B3A5C" w:sz="18" w:space="27"/>
      </w:pgBorders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tbl>
    <w:tblPr>
      <w:tblW w:type="dxa" w:w="9978"/>
      <w:tblBorders>
        <w:top w:val="single" w:color="auto" w:sz="4"/>
        <w:left w:val="single" w:color="auto" w:sz="4"/>
        <w:bottom w:val="single" w:color="auto" w:sz="4"/>
        <w:right w:val="single" w:color="auto" w:sz="4"/>
        <w:insideH w:val="single" w:color="auto" w:sz="4"/>
        <w:insideV w:val="single" w:color="auto" w:sz="4"/>
      </w:tblBorders>
    </w:tblPr>
    <w:tblGrid>
      <w:gridCol w:w="2600"/>
      <w:gridCol w:w="2400"/>
      <w:gridCol w:w="4978"/>
    </w:tblGrid>
    <w:tr>
      <w:trPr>
        <w:trHeight w:val="430" w:hRule="exact"/>
      </w:trPr>
      <w:tc>
        <w:tcPr>
          <w:tcW w:type="dxa" w:w="2600"/>
          <w:tcBorders>
            <w:top w:val="none" w:color="FFFFFF" w:sz="0"/>
            <w:left w:val="none" w:color="FFFFFF" w:sz="0"/>
            <w:bottom w:val="none" w:color="FFFFFF" w:sz="0"/>
            <w:right w:val="none" w:color="FFFFFF" w:sz="0"/>
          </w:tcBorders>
          <w:tcMar>
            <w:top w:type="dxa" w:w="20"/>
            <w:left w:type="dxa" w:w="90"/>
            <w:bottom w:type="dxa" w:w="20"/>
            <w:right w:type="dxa" w:w="70"/>
          </w:tcMar>
          <w:vAlign w:val="center"/>
        </w:tcPr>
        <w:p>
          <w:pPr>
            <w:spacing w:after="0" w:before="0" w:line="28" w:lineRule="exact"/>
          </w:pPr>
          <w:r>
            <w:rPr>
              <w:rFonts w:ascii="Malgun Gothic" w:eastAsia="Malgun Gothic" w:hAnsi="Malgun Gothic"/>
              <w:b w:val="false"/>
              <w:bCs w:val="false"/>
              <w:snapToGrid w:val="false"/>
              <w:color w:val="333333"/>
              <w:sz w:val="2"/>
              <w:szCs w:val="2"/>
            </w:rPr>
            <w:t xml:space="preserve"/>
          </w:r>
        </w:p>
      </w:tc>
      <w:tc>
        <w:tcPr>
          <w:tcW w:type="dxa" w:w="2400"/>
          <w:tcBorders>
            <w:top w:val="none" w:color="FFFFFF" w:sz="0"/>
            <w:left w:val="none" w:color="FFFFFF" w:sz="0"/>
            <w:bottom w:val="none" w:color="FFFFFF" w:sz="0"/>
            <w:right w:val="none" w:color="FFFFFF" w:sz="0"/>
          </w:tcBorders>
          <w:tcMar>
            <w:top w:type="dxa" w:w="0"/>
            <w:left w:type="dxa" w:w="0"/>
            <w:bottom w:type="dxa" w:w="0"/>
            <w:right w:type="dxa" w:w="100"/>
          </w:tcMar>
          <w:vAlign w:val="center"/>
        </w:tcPr>
        <w:p>
          <w:pPr>
            <w:spacing w:after="0" w:before="0" w:line="400" w:lineRule="exact"/>
          </w:pPr>
          <w:r>
            <w:drawing>
              <wp:inline distT="0" distB="0" distL="0" distR="0">
                <wp:extent cx="1162050" cy="228600"/>
                <wp:effectExtent t="0" r="0" b="0" l="0"/>
                <wp:docPr id="1" name="" descr="" title="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0" name="" descr=""/>
                        <pic:cNvPicPr>
                          <a:picLocks noChangeAspect="1" noChangeArrowheads="1"/>
                        </pic:cNvPicPr>
                      </pic:nvPicPr>
                      <pic:blipFill>
                        <a:blip r:embed="rId0" cstate="none"/>
                        <a:srcRect/>
                        <a:stretch>
                          <a:fillRect/>
                        </a:stretch>
                      </pic:blipFill>
                      <pic:spPr bwMode="auto">
                        <a:xfrm>
                          <a:off x="0" y="0"/>
                          <a:ext cx="1162050" cy="228600"/>
                        </a:xfrm>
                        <a:prstGeom prst="rect">
                          <a:avLst/>
                        </a:prstGeom>
                      </pic:spPr>
                    </pic:pic>
                  </a:graphicData>
                </a:graphic>
              </wp:inline>
            </w:drawing>
          </w:r>
        </w:p>
      </w:tc>
      <w:tc>
        <w:tcPr>
          <w:tcW w:type="dxa" w:w="4978"/>
          <w:tcBorders>
            <w:top w:val="none" w:color="FFFFFF" w:sz="0"/>
            <w:left w:val="none" w:color="FFFFFF" w:sz="0"/>
            <w:bottom w:val="none" w:color="FFFFFF" w:sz="0"/>
            <w:right w:val="none" w:color="FFFFFF" w:sz="0"/>
          </w:tcBorders>
          <w:tcMar>
            <w:top w:type="dxa" w:w="0"/>
            <w:left w:type="dxa" w:w="0"/>
            <w:bottom w:type="dxa" w:w="0"/>
            <w:right w:type="dxa" w:w="0"/>
          </w:tcMar>
          <w:vAlign w:val="center"/>
        </w:tcPr>
        <w:p>
          <w:pPr>
            <w:spacing w:after="0" w:before="0" w:line="196" w:lineRule="exact"/>
          </w:pPr>
          <w:r>
            <w:rPr>
              <w:rFonts w:ascii="Malgun Gothic" w:eastAsia="Malgun Gothic" w:hAnsi="Malgun Gothic"/>
              <w:b w:val="false"/>
              <w:bCs w:val="false"/>
              <w:snapToGrid w:val="false"/>
              <w:color w:val="333333"/>
              <w:sz w:val="14"/>
              <w:szCs w:val="14"/>
            </w:rPr>
            <w:t xml:space="preserve">* 본 병원은 한국동물병원협회(KAHA) 회원병원입니다.</w:t>
          </w:r>
        </w:p>
        <w:p>
          <w:pPr>
            <w:spacing w:after="0" w:before="0" w:line="196" w:lineRule="exact"/>
          </w:pPr>
          <w:r>
            <w:rPr>
              <w:rFonts w:ascii="Malgun Gothic" w:eastAsia="Malgun Gothic" w:hAnsi="Malgun Gothic"/>
              <w:b w:val="false"/>
              <w:bCs w:val="false"/>
              <w:snapToGrid w:val="false"/>
              <w:color w:val="333333"/>
              <w:sz w:val="14"/>
              <w:szCs w:val="14"/>
            </w:rPr>
            <w:t xml:space="preserve">● Korean Animal Hospital Association (KAHA)</w:t>
          </w:r>
        </w:p>
      </w:tc>
    </w:tr>
  </w:tbl>
  <w:p>
    <w:pPr>
      <w:spacing w:after="0" w:before="0" w:line="20" w:lineRule="exact"/>
    </w:pP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spacing w:after="0" w:before="0" w:line="20" w:lineRule="exact"/>
    </w:pPr>
    <w:r>
      <w:drawing>
        <wp:anchor distT="0" distB="0" distL="0" distR="0" simplePos="0" allowOverlap="1" behindDoc="1" locked="0" layoutInCell="1" relativeHeight="3181350">
          <wp:simplePos x="0" y="0"/>
          <wp:positionH relativeFrom="page">
            <wp:posOffset>1330000</wp:posOffset>
          </wp:positionH>
          <wp:positionV relativeFrom="page">
            <wp:posOffset>2540000</wp:posOffset>
          </wp:positionV>
          <wp:extent cx="3181350" cy="3181350"/>
          <wp:effectExtent t="0" r="0" b="0" l="0"/>
          <wp:wrapNone/>
          <wp:docPr id="1" name="" descr="" title="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" descr=""/>
                  <pic:cNvPicPr>
                    <a:picLocks noChangeAspect="1" noChangeArrowheads="1"/>
                  </pic:cNvPicPr>
                </pic:nvPicPr>
                <pic:blipFill>
                  <a:blip r:embed="rId0" cstate="none"/>
                  <a:srcRect/>
                  <a:stretch>
                    <a:fillRect/>
                  </a:stretch>
                </pic:blipFill>
                <pic:spPr bwMode="auto">
                  <a:xfrm>
                    <a:off x="0" y="0"/>
                    <a:ext cx="3181350" cy="3181350"/>
                  </a:xfrm>
                  <a:prstGeom prst="rect">
                    <a:avLst/>
                  </a:prstGeom>
                </pic:spPr>
              </pic:pic>
            </a:graphicData>
          </a:graphic>
        </wp:anchor>
      </w:drawing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Malgun Gothic" w:eastAsia="Malgun Gothic" w:hAnsi="Malgun Gothic"/>
        <w:color w:val="333333"/>
        <w:sz w:val="17"/>
        <w:szCs w:val="17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9" Type="http://schemas.openxmlformats.org/officeDocument/2006/relationships/image" Target="media/a8b32ad6c92508a48ef124ddbb7903e428f50197.png"/><Relationship Id="rId10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><Relationship Id="rId0" Type="http://schemas.openxmlformats.org/officeDocument/2006/relationships/image" Target="media/193f84378b954b469dda14499dc8bec186a6f919.png"/></Relationships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><Relationship Id="rId0" Type="http://schemas.openxmlformats.org/officeDocument/2006/relationships/image" Target="media/d457837526ee2d4da8f01a327c406c611f34357c.png"/></Relationships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2026-08-18T11:35:00.145Z</dcterms:created>
  <dcterms:modified xsi:type="dcterms:W3CDTF">2026-08-18T11:35:00.145Z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