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50"/>
        <w:gridCol w:w="9128"/>
      </w:tblGrid>
      <w:tr>
        <w:trPr>
          <w:trHeight w:val="800" w:hRule="exact"/>
        </w:trPr>
        <w:tc>
          <w:tcPr>
            <w:tcW w:type="dxa" w:w="8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160"/>
            </w:tcMar>
            <w:vAlign w:val="center"/>
          </w:tcPr>
          <w:p>
            <w:pPr>
              <w:spacing w:after="0" w:before="0" w:line="800" w:lineRule="exact"/>
            </w:pPr>
            <w:r>
              <w:drawing>
                <wp:inline distT="0" distB="0" distL="0" distR="0">
                  <wp:extent cx="438150" cy="4381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38150" cy="4381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912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560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1B3A5C"/>
                <w:sz w:val="40"/>
                <w:szCs w:val="40"/>
              </w:rPr>
              <w:t xml:space="preserve">비강 내시경 및 생검 동의서</w:t>
            </w:r>
          </w:p>
        </w:tc>
      </w:tr>
    </w:tbl>
    <w:p>
      <w:pPr>
        <w:spacing w:after="0" w:before="100" w:line="240" w:lineRule="exact"/>
      </w:pPr>
      <w:r>
        <w:rPr>
          <w:rFonts w:ascii="Malgun Gothic" w:eastAsia="Malgun Gothic" w:hAnsi="Malgun Gothic"/>
          <w:b w:val="false"/>
          <w:bCs w:val="false"/>
          <w:snapToGrid w:val="false"/>
          <w:color w:val="333333"/>
          <w:sz w:val="16"/>
          <w:szCs w:val="16"/>
        </w:rPr>
        <w:t xml:space="preserve">본 동의서는 「수의사법」 제13조의2 및 같은 법 시행규칙 제13조의3에 따라 작성되었습니다.</w:t>
      </w:r>
    </w:p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74"/>
        <w:gridCol w:w="1701"/>
        <w:gridCol w:w="2551"/>
        <w:gridCol w:w="1701"/>
        <w:gridCol w:w="2551"/>
      </w:tblGrid>
      <w:tr>
        <w:trPr>
          <w:trHeight w:val="497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성명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연락처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97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주소</w:t>
            </w:r>
          </w:p>
        </w:tc>
        <w:tc>
          <w:tcPr>
            <w:tcW w:type="dxa" w:w="6803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97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반려동물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이름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종 / 품종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97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성별 / 중성화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연령 / 체중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97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특이사항</w:t>
            </w:r>
          </w:p>
        </w:tc>
        <w:tc>
          <w:tcPr>
            <w:tcW w:type="dxa" w:w="6803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97" w:hRule="exact"/>
        </w:trPr>
        <w:tc>
          <w:tcPr>
            <w:tcW w:type="dxa" w:w="147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수의사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동물병원명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수의사 성명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61"/>
        <w:gridCol w:w="3588"/>
        <w:gridCol w:w="80"/>
        <w:gridCol w:w="1361"/>
        <w:gridCol w:w="3588"/>
      </w:tblGrid>
      <w:tr>
        <w:trPr>
          <w:trHeight w:val="510" w:hRule="exact"/>
        </w:trPr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6"/>
                <w:szCs w:val="16"/>
              </w:rPr>
              <w:t xml:space="preserve">진 단 명</w:t>
            </w:r>
          </w:p>
        </w:tc>
        <w:tc>
          <w:tcPr>
            <w:tcW w:type="dxa" w:w="3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비강 질환</w:t>
            </w:r>
          </w:p>
        </w:tc>
        <w:tc>
          <w:tcPr>
            <w:tcW w:type="dxa" w:w="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2"/>
                <w:szCs w:val="2"/>
              </w:rPr>
              <w:t xml:space="preserve"/>
            </w:r>
          </w:p>
        </w:tc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6"/>
                <w:szCs w:val="16"/>
              </w:rPr>
              <w:t xml:space="preserve">시행 방법</w:t>
            </w:r>
          </w:p>
        </w:tc>
        <w:tc>
          <w:tcPr>
            <w:tcW w:type="dxa" w:w="3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비강 내시경 및 생검 (Rhinoscopy)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4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진료의 필요성 ·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방법 및 내용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코 출혈·재채기의 원인을 확인해야 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비강을 관찰하고 조직을 채취합니다.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3434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전형적으로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발생이 예상되는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후유증 또는 부작용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출혈이 지속될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재채기와 콧물이 며칠간 심해질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검체가 부족하여 재검사가 필요할 수 있습니다.</w:t>
            </w:r>
          </w:p>
          <w:p>
            <w:pPr>
              <w:spacing w:after="0" w:before="0" w:line="11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8"/>
                <w:szCs w:val="8"/>
              </w:rPr>
              <w:t xml:space="preserve"/>
            </w:r>
          </w:p>
          <w:tbl>
            <w:tblPr>
              <w:tblW w:type="dxa" w:w="781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586"/>
              <w:gridCol w:w="820"/>
              <w:gridCol w:w="5467"/>
              <w:gridCol w:w="937"/>
            </w:tblGrid>
            <w:tr>
              <w:trPr>
                <w:trHeight w:val="272" w:hRule="exact"/>
              </w:trPr>
              <w:tc>
                <w:tcPr>
                  <w:tcW w:type="dxa" w:w="586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4"/>
                      <w:szCs w:val="14"/>
                    </w:rPr>
                    <w:t xml:space="preserve">체크</w:t>
                  </w:r>
                </w:p>
              </w:tc>
              <w:tc>
                <w:tcPr>
                  <w:tcW w:type="dxa" w:w="820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4"/>
                      <w:szCs w:val="14"/>
                    </w:rPr>
                    <w:t xml:space="preserve">ASA 등급</w:t>
                  </w:r>
                </w:p>
              </w:tc>
              <w:tc>
                <w:tcPr>
                  <w:tcW w:type="dxa" w:w="546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4"/>
                      <w:szCs w:val="14"/>
                    </w:rPr>
                    <w:t xml:space="preserve">정 의</w:t>
                  </w:r>
                </w:p>
              </w:tc>
              <w:tc>
                <w:tcPr>
                  <w:tcW w:type="dxa" w:w="93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4"/>
                      <w:szCs w:val="14"/>
                    </w:rPr>
                    <w:t xml:space="preserve">사망률(%)</w:t>
                  </w:r>
                </w:p>
              </w:tc>
            </w:tr>
            <w:tr>
              <w:trPr>
                <w:trHeight w:val="272" w:hRule="exact"/>
              </w:trPr>
              <w:tc>
                <w:tcPr>
                  <w:tcW w:type="dxa" w:w="586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□</w:t>
                  </w:r>
                </w:p>
              </w:tc>
              <w:tc>
                <w:tcPr>
                  <w:tcW w:type="dxa" w:w="820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Ⅰ</w:t>
                  </w:r>
                </w:p>
              </w:tc>
              <w:tc>
                <w:tcPr>
                  <w:tcW w:type="dxa" w:w="546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정상적이고 건강한 개체</w:t>
                  </w:r>
                </w:p>
              </w:tc>
              <w:tc>
                <w:tcPr>
                  <w:tcW w:type="dxa" w:w="93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0.1</w:t>
                  </w:r>
                </w:p>
              </w:tc>
            </w:tr>
            <w:tr>
              <w:trPr>
                <w:trHeight w:val="272" w:hRule="exact"/>
              </w:trPr>
              <w:tc>
                <w:tcPr>
                  <w:tcW w:type="dxa" w:w="586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□</w:t>
                  </w:r>
                </w:p>
              </w:tc>
              <w:tc>
                <w:tcPr>
                  <w:tcW w:type="dxa" w:w="820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Ⅱ</w:t>
                  </w:r>
                </w:p>
              </w:tc>
              <w:tc>
                <w:tcPr>
                  <w:tcW w:type="dxa" w:w="546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활동을 제한하지 않는 가벼운 전신적 질환</w:t>
                  </w:r>
                </w:p>
              </w:tc>
              <w:tc>
                <w:tcPr>
                  <w:tcW w:type="dxa" w:w="93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1</w:t>
                  </w:r>
                </w:p>
              </w:tc>
            </w:tr>
            <w:tr>
              <w:trPr>
                <w:trHeight w:val="272" w:hRule="exact"/>
              </w:trPr>
              <w:tc>
                <w:tcPr>
                  <w:tcW w:type="dxa" w:w="586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□</w:t>
                  </w:r>
                </w:p>
              </w:tc>
              <w:tc>
                <w:tcPr>
                  <w:tcW w:type="dxa" w:w="820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Ⅲ</w:t>
                  </w:r>
                </w:p>
              </w:tc>
              <w:tc>
                <w:tcPr>
                  <w:tcW w:type="dxa" w:w="546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활동이 가능한 중증의 전신적 질환</w:t>
                  </w:r>
                </w:p>
              </w:tc>
              <w:tc>
                <w:tcPr>
                  <w:tcW w:type="dxa" w:w="93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10</w:t>
                  </w:r>
                </w:p>
              </w:tc>
            </w:tr>
            <w:tr>
              <w:trPr>
                <w:trHeight w:val="272" w:hRule="exact"/>
              </w:trPr>
              <w:tc>
                <w:tcPr>
                  <w:tcW w:type="dxa" w:w="586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□</w:t>
                  </w:r>
                </w:p>
              </w:tc>
              <w:tc>
                <w:tcPr>
                  <w:tcW w:type="dxa" w:w="820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Ⅳ</w:t>
                  </w:r>
                </w:p>
              </w:tc>
              <w:tc>
                <w:tcPr>
                  <w:tcW w:type="dxa" w:w="546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지속적으로 생명을 위협하며, 활동이 불가능한 전신적 질환</w:t>
                  </w:r>
                </w:p>
              </w:tc>
              <w:tc>
                <w:tcPr>
                  <w:tcW w:type="dxa" w:w="93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30</w:t>
                  </w:r>
                </w:p>
              </w:tc>
            </w:tr>
            <w:tr>
              <w:trPr>
                <w:trHeight w:val="272" w:hRule="exact"/>
              </w:trPr>
              <w:tc>
                <w:tcPr>
                  <w:tcW w:type="dxa" w:w="586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□</w:t>
                  </w:r>
                </w:p>
              </w:tc>
              <w:tc>
                <w:tcPr>
                  <w:tcW w:type="dxa" w:w="820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Ⅴ</w:t>
                  </w:r>
                </w:p>
              </w:tc>
              <w:tc>
                <w:tcPr>
                  <w:tcW w:type="dxa" w:w="546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수술과 관계없이 24시간 이내에 사망할 수 있는 빈사 상태</w:t>
                  </w:r>
                </w:p>
              </w:tc>
              <w:tc>
                <w:tcPr>
                  <w:tcW w:type="dxa" w:w="93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50</w:t>
                  </w:r>
                </w:p>
              </w:tc>
            </w:tr>
          </w:tbl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4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진료 전후에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보호자의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준수 및 숙지 사항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출혈이 멎지 않으면 즉시 연락해야 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결과 확인을 위해 재내원해야 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562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978"/>
      </w:tblGrid>
      <w:tr>
        <w:trPr>
          <w:trHeight w:val="964" w:hRule="exact"/>
        </w:trPr>
        <w:tc>
          <w:tcPr>
            <w:tcW w:type="dxa" w:w="997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224" w:lineRule="exact"/>
              <w:jc w:val="center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「수의사법」 제13조의2 및 같은 법 시행규칙 제13조의3에 따라 위와 같이 수의사로부터 진료의 필요성 · 방법 · 내용과 전형적으로 예상되는 후유증 및 부작용에 관한 설명을 충분히 듣고 이해하였습니다. 이에 위 진료의 시행에 동의하며, 시행 과정에서 필요한 수의학적 판단과 처리를 담당 수의사에게 위임합니다.</w:t>
            </w:r>
          </w:p>
          <w:p>
            <w:pPr>
              <w:spacing w:after="0" w:before="0" w:line="224" w:lineRule="exact"/>
              <w:jc w:val="center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*기타 내용이 발생할 경우 별지를 포함합니다.</w:t>
            </w:r>
          </w:p>
        </w:tc>
      </w:tr>
    </w:tbl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80"/>
        <w:gridCol w:w="1100"/>
        <w:gridCol w:w="1049"/>
        <w:gridCol w:w="1250"/>
        <w:gridCol w:w="1100"/>
        <w:gridCol w:w="1049"/>
        <w:gridCol w:w="1250"/>
      </w:tblGrid>
      <w:tr>
        <w:trPr>
          <w:trHeight w:val="570" w:hRule="exact"/>
        </w:trPr>
        <w:tc>
          <w:tcPr>
            <w:tcW w:type="dxa" w:w="31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tbl>
            <w:tblPr>
              <w:tblW w:type="dxa" w:w="318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400"/>
              <w:gridCol w:w="620"/>
              <w:gridCol w:w="300"/>
              <w:gridCol w:w="620"/>
              <w:gridCol w:w="300"/>
              <w:gridCol w:w="620"/>
              <w:gridCol w:w="300"/>
              <w:gridCol w:w="280"/>
            </w:tblGrid>
            <w:tr>
              <w:trPr>
                <w:trHeight w:val="470" w:hRule="exact"/>
              </w:trPr>
              <w:tc>
                <w:tcPr>
                  <w:tcW w:type="dxa" w:w="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20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년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월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일</w:t>
                  </w:r>
                </w:p>
              </w:tc>
              <w:tc>
                <w:tcPr>
                  <w:tcW w:type="dxa" w:w="28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</w:tr>
          </w:tbl>
          <w:p>
            <w:pPr>
              <w:spacing w:after="0" w:before="0" w:line="20" w:lineRule="exact"/>
            </w:pP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0"/>
            </w:tcMar>
            <w:vAlign w:val="center"/>
          </w:tcPr>
          <w:p>
            <w:pPr>
              <w:spacing w:after="0" w:before="0" w:line="196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4"/>
                <w:szCs w:val="14"/>
              </w:rPr>
              <w:t xml:space="preserve">(서명 또는 인)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설명 수의사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0"/>
            </w:tcMar>
            <w:vAlign w:val="center"/>
          </w:tcPr>
          <w:p>
            <w:pPr>
              <w:spacing w:after="0" w:before="0" w:line="196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4"/>
                <w:szCs w:val="14"/>
              </w:rPr>
              <w:t xml:space="preserve">(서명 또는 인)</w:t>
            </w:r>
          </w:p>
        </w:tc>
      </w:tr>
    </w:tbl>
    <w:p>
      <w:pPr>
        <w:spacing w:after="0" w:before="0" w:line="120" w:lineRule="exact"/>
      </w:pPr>
    </w:p>
    <w:sectPr>
      <w:headerReference w:type="default" r:id="rId7"/>
      <w:footerReference w:type="default" r:id="rId8"/>
      <w:pgSz w:w="11906" w:h="16838" w:orient="portrait"/>
      <w:pgMar w:top="851" w:right="964" w:bottom="1701" w:left="964" w:header="340" w:footer="794" w:gutter="0"/>
      <w:pgBorders w:display="allPages" w:offsetFrom="page" w:zOrder="back">
        <w:top w:val="single" w:color="1B3A5C" w:sz="18" w:space="27"/>
        <w:left w:val="single" w:color="1B3A5C" w:sz="18" w:space="27"/>
        <w:bottom w:val="single" w:color="1B3A5C" w:sz="18" w:space="27"/>
        <w:right w:val="single" w:color="1B3A5C" w:sz="18" w:space="27"/>
      </w:pgBorders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tbl>
    <w:tblPr>
      <w:tblW w:type="dxa" w:w="9978"/>
      <w:tblBorders>
        <w:top w:val="single" w:color="auto" w:sz="4"/>
        <w:left w:val="single" w:color="auto" w:sz="4"/>
        <w:bottom w:val="single" w:color="auto" w:sz="4"/>
        <w:right w:val="single" w:color="auto" w:sz="4"/>
        <w:insideH w:val="single" w:color="auto" w:sz="4"/>
        <w:insideV w:val="single" w:color="auto" w:sz="4"/>
      </w:tblBorders>
    </w:tblPr>
    <w:tblGrid>
      <w:gridCol w:w="2600"/>
      <w:gridCol w:w="2400"/>
      <w:gridCol w:w="4978"/>
    </w:tblGrid>
    <w:tr>
      <w:trPr>
        <w:trHeight w:val="430" w:hRule="exact"/>
      </w:trPr>
      <w:tc>
        <w:tcPr>
          <w:tcW w:type="dxa" w:w="26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20"/>
            <w:left w:type="dxa" w:w="90"/>
            <w:bottom w:type="dxa" w:w="20"/>
            <w:right w:type="dxa" w:w="70"/>
          </w:tcMar>
          <w:vAlign w:val="center"/>
        </w:tcPr>
        <w:p>
          <w:pPr>
            <w:spacing w:after="0" w:before="0" w:line="28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2"/>
              <w:szCs w:val="2"/>
            </w:rPr>
            <w:t xml:space="preserve"/>
          </w:r>
        </w:p>
      </w:tc>
      <w:tc>
        <w:tcPr>
          <w:tcW w:type="dxa" w:w="24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100"/>
          </w:tcMar>
          <w:vAlign w:val="center"/>
        </w:tcPr>
        <w:p>
          <w:pPr>
            <w:spacing w:after="0" w:before="0" w:line="400" w:lineRule="exact"/>
          </w:pPr>
          <w:r>
            <w:drawing>
              <wp:inline distT="0" distB="0" distL="0" distR="0">
                <wp:extent cx="1162050" cy="228600"/>
                <wp:effectExtent t="0" r="0" b="0" l="0"/>
                <wp:docPr id="1" name="" descr="" titl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" descr="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0" cstate="none"/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162050" cy="2286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type="dxa" w:w="4978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0"/>
          </w:tcMar>
          <w:vAlign w:val="center"/>
        </w:tcPr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* 본 병원은 한국동물병원협회(KAHA) 회원병원입니다.</w:t>
          </w:r>
        </w:p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● Korean Animal Hospital Association (KAHA)</w:t>
          </w:r>
        </w:p>
      </w:tc>
    </w:tr>
  </w:tbl>
  <w:p>
    <w:pPr>
      <w:spacing w:after="0" w:before="0" w:line="20" w:lineRule="exact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spacing w:after="0" w:before="0" w:line="20" w:lineRule="exact"/>
    </w:pPr>
    <w:r>
      <w:drawing>
        <wp:anchor distT="0" distB="0" distL="0" distR="0" simplePos="0" allowOverlap="1" behindDoc="1" locked="0" layoutInCell="1" relativeHeight="3181350">
          <wp:simplePos x="0" y="0"/>
          <wp:positionH relativeFrom="page">
            <wp:posOffset>1330000</wp:posOffset>
          </wp:positionH>
          <wp:positionV relativeFrom="page">
            <wp:posOffset>2540000</wp:posOffset>
          </wp:positionV>
          <wp:extent cx="3181350" cy="3181350"/>
          <wp:effectExtent t="0" r="0" b="0" l="0"/>
          <wp:wrapNone/>
          <wp:docPr id="1" name="" descr="" title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3181350" cy="318135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algun Gothic" w:eastAsia="Malgun Gothic" w:hAnsi="Malgun Gothic"/>
        <w:color w:val="333333"/>
        <w:sz w:val="17"/>
        <w:szCs w:val="17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a8b32ad6c92508a48ef124ddbb7903e428f50197.pn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><Relationship Id="rId0" Type="http://schemas.openxmlformats.org/officeDocument/2006/relationships/image" Target="media/193f84378b954b469dda14499dc8bec186a6f919.png"/></Relationships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d457837526ee2d4da8f01a327c406c611f34357c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2026-08-18T11:57:27.895Z</dcterms:created>
  <dcterms:modified xsi:type="dcterms:W3CDTF">2026-08-18T11:57:27.895Z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