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폐엽 절제술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51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폐 종괴 · 폐엽 질환 (Pulmonary Mass)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폐엽 절제술 (Lung Lobectomy)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폐의 병변으로 호흡 기능이 저하되어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병변이 있는 폐엽을 절제합니다.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3184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기흉, 출혈, 호흡 부전이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개흉으로 인한 통증과 회복 지연이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악성 종양인 경우 재발·전이 가능성이 있습니다.</w:t>
            </w:r>
          </w:p>
          <w:p>
            <w:pPr>
              <w:spacing w:after="0" w:before="0" w:line="11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8"/>
                <w:szCs w:val="8"/>
              </w:rPr>
              <w:t xml:space="preserve"/>
            </w:r>
          </w:p>
          <w:tbl>
            <w:tblPr>
              <w:tblW w:type="dxa" w:w="781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586"/>
              <w:gridCol w:w="820"/>
              <w:gridCol w:w="5467"/>
              <w:gridCol w:w="937"/>
            </w:tblGrid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체크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ASA 등급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정 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shd w:fill="EFEFEF" w:val="clear"/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/>
                      <w:bCs/>
                      <w:snapToGrid w:val="false"/>
                      <w:color w:val="333333"/>
                      <w:sz w:val="14"/>
                      <w:szCs w:val="14"/>
                    </w:rPr>
                    <w:t xml:space="preserve">사망률(%)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Ⅰ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정상적이고 건강한 개체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0.1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Ⅱ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활동을 제한하지 않는 가벼운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Ⅲ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활동이 가능한 중증의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10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Ⅳ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지속적으로 생명을 위협하며, 활동이 불가능한 전신적 질환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30</w:t>
                  </w:r>
                </w:p>
              </w:tc>
            </w:tr>
            <w:tr>
              <w:trPr>
                <w:trHeight w:val="272" w:hRule="exact"/>
              </w:trPr>
              <w:tc>
                <w:tcPr>
                  <w:tcW w:type="dxa" w:w="586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□</w:t>
                  </w:r>
                </w:p>
              </w:tc>
              <w:tc>
                <w:tcPr>
                  <w:tcW w:type="dxa" w:w="820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Ⅴ</w:t>
                  </w:r>
                </w:p>
              </w:tc>
              <w:tc>
                <w:tcPr>
                  <w:tcW w:type="dxa" w:w="546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수술과 관계없이 24시간 이내에 사망할 수 있는 빈사 상태</w:t>
                  </w:r>
                </w:p>
              </w:tc>
              <w:tc>
                <w:tcPr>
                  <w:tcW w:type="dxa" w:w="937"/>
                  <w:tcBorders>
                    <w:top w:val="single" w:color="BFBFBF" w:sz="4"/>
                    <w:left w:val="single" w:color="BFBFBF" w:sz="4"/>
                    <w:bottom w:val="single" w:color="BFBFBF" w:sz="4"/>
                    <w:right w:val="single" w:color="BFBFBF" w:sz="4"/>
                  </w:tcBorders>
                  <w:tcMar>
                    <w:top w:type="dxa" w:w="20"/>
                    <w:left w:type="dxa" w:w="90"/>
                    <w:bottom w:type="dxa" w:w="20"/>
                    <w:right w:type="dxa" w:w="70"/>
                  </w:tcMar>
                  <w:vAlign w:val="center"/>
                </w:tcPr>
                <w:p>
                  <w:pPr>
                    <w:spacing w:after="0" w:before="0" w:line="196" w:lineRule="exact"/>
                    <w:jc w:val="center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4"/>
                      <w:szCs w:val="14"/>
                    </w:rPr>
                    <w:t xml:space="preserve">50</w:t>
                  </w:r>
                </w:p>
              </w:tc>
            </w:tr>
          </w:tbl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 산소 치료와 통증 관리가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흉관 관리와 정기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724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2026-08-18T13:18:52.322Z</dcterms:created>
  <dcterms:modified xsi:type="dcterms:W3CDTF">2026-08-18T13:18:52.322Z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