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40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수술·마취 동의서</w:t>
      </w:r>
    </w:p>
    <w:p>
      <w:pPr>
        <w:spacing w:after="120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수의사법 제13조의2(수술등중대진료 설명·서면동의)에 따른 동의서 — 전신마취 동반 내부장기·뼈·관절 수술 및 수혈 / 작성 후 1년 보존 / 서식번호 KAHA-F-2601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동물·보호자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300"/>
        <w:gridCol w:w="1750"/>
        <w:gridCol w:w="3290"/>
      </w:tblGrid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성별 / 중성화</w:t>
            </w:r>
          </w:p>
        </w:tc>
        <w:tc>
          <w:tcPr>
            <w:tcW w:type="dxa" w:w="3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동물과의 관계</w:t>
            </w:r>
          </w:p>
        </w:tc>
        <w:tc>
          <w:tcPr>
            <w:tcW w:type="dxa" w:w="3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소유자      □ 대리인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900"/>
        <w:gridCol w:w="1300"/>
        <w:gridCol w:w="1450"/>
        <w:gridCol w:w="1300"/>
        <w:gridCol w:w="2390"/>
      </w:tblGrid>
      <w:tr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연령(생년월일)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4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2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진단명 및 현재 상태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진단명 (추정 포함)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현재 상태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ASA 신체상태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10" w:before="1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등급별 마취 관련 사망 위험(영국 CEPSAF 연구, Brodbelt 등 2008) — 건강 개체(ASA Ⅰ–Ⅱ): 개 0.05% · 고양이 0.11% / 질환 동반(ASA Ⅲ–Ⅴ): 개 1.33% · 고양이 1.40%</w:t>
      </w:r>
    </w:p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예정 진료의 필요성 · 방법 ·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1500"/>
        <w:gridCol w:w="26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수술 / 처치명</w:t>
            </w:r>
          </w:p>
        </w:tc>
        <w:tc>
          <w:tcPr>
            <w:tcW w:type="dxa" w:w="3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예정 일시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집도 수의사</w:t>
            </w:r>
          </w:p>
        </w:tc>
        <w:tc>
          <w:tcPr>
            <w:tcW w:type="dxa" w:w="3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마취 방식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필 요 성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/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방법 및 내용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전형적으로 발생이 예상되는 후유증 ·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마취 관련 : 저혈압, 저체온, 부정맥, 드물게 심정지 등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관련 : 출혈, 감염, 봉합 부위 벌어짐, 재수술 가능성 등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개체 상태에 따른 추가 위험 :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6"/>
                <w:szCs w:val="16"/>
              </w:rPr>
              <w:t xml:space="preserve">※  위 내용은 전형적으로 예상되는 사항이며, 예측하지 못한 상황이 발생할 수 있음을 설명받았습니다.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보호자 준수사항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전 금식 : 음식 ________ 시간  ·  물 ________ 시간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후 주의사항(넥카라 · 활동 제한 · 투약 등) 준수     □  응급상황 연락 가능한 연락처 유지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5. 추가 확인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수술 중 상태에 따라 범위가 변경될 수 있음을 설명받음   ( 변경 시 :  □ 사전 연락 요망   □ 수의사 판단에 위임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예상 진료비용 안내를 받음   ( 예상 범위 : ____________________ 원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심폐소생술(CPR) :  □ 시행   □ 시행하지 않음(DNR)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9"/>
                <w:szCs w:val="19"/>
              </w:rPr>
              <w:t xml:space="preserve">본인은 위 내용에 대하여 충분한 설명을 듣고 이해하였으며, 수술 및 마취 시행에 동의합니다.</w:t>
            </w:r>
          </w:p>
        </w:tc>
      </w:tr>
    </w:tbl>
    <w:p>
      <w:pPr>
        <w:spacing w:after="60" w:before="0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100"/>
        <w:gridCol w:w="2600"/>
        <w:gridCol w:w="1400"/>
        <w:gridCol w:w="1590"/>
      </w:tblGrid>
      <w:tr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작성일</w:t>
            </w:r>
          </w:p>
        </w:tc>
        <w:tc>
          <w:tcPr>
            <w:tcW w:type="dxa" w:w="2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 수의사</w:t>
            </w:r>
          </w:p>
        </w:tc>
        <w:tc>
          <w:tcPr>
            <w:tcW w:type="dxa" w:w="15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50"/>
              <w:left w:type="dxa" w:w="90"/>
              <w:bottom w:type="dxa" w:w="50"/>
              <w:right w:type="dxa" w:w="60"/>
            </w:tcMar>
            <w:vAlign w:val="center"/>
          </w:tcPr>
          <w:p>
            <w:pPr>
              <w:spacing w:after="10" w:before="10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160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(KAHA-F-2601) — 병원 실정에 맞게 수정 후 사용하십시오.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2026-08-10T02:26:22.709Z</dcterms:created>
  <dcterms:modified xsi:type="dcterms:W3CDTF">2026-08-10T02:26:22.709Z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