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9128"/>
      </w:tblGrid>
      <w:tr>
        <w:trPr>
          <w:trHeight w:val="800" w:hRule="exact"/>
        </w:trPr>
        <w:tc>
          <w:tcPr>
            <w:tcW w:type="dxa" w:w="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60"/>
            </w:tcMar>
            <w:vAlign w:val="center"/>
          </w:tcPr>
          <w:p>
            <w:pPr>
              <w:spacing w:after="0" w:before="0" w:line="800" w:lineRule="exact"/>
            </w:pPr>
            <w:r>
              <w:drawing>
                <wp:inline distT="0" distB="0" distL="0" distR="0">
                  <wp:extent cx="438150" cy="438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1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560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1B3A5C"/>
                <w:sz w:val="40"/>
                <w:szCs w:val="40"/>
              </w:rPr>
              <w:t xml:space="preserve">수술등중대진료(마취) 동의서</w:t>
            </w:r>
          </w:p>
        </w:tc>
      </w:tr>
    </w:tbl>
    <w:p>
      <w:pPr>
        <w:spacing w:after="0" w:before="100" w:line="240" w:lineRule="exact"/>
      </w:pPr>
      <w:r>
        <w:rPr>
          <w:rFonts w:ascii="Malgun Gothic" w:eastAsia="Malgun Gothic" w:hAnsi="Malgun Gothic"/>
          <w:b w:val="false"/>
          <w:bCs w:val="false"/>
          <w:snapToGrid w:val="false"/>
          <w:color w:val="333333"/>
          <w:sz w:val="16"/>
          <w:szCs w:val="16"/>
        </w:rPr>
        <w:t xml:space="preserve">본 동의서는 「수의사법」 제13조의2 및 같은 법 시행규칙 제13조의2에 따라 작성되었습니다.</w:t>
      </w:r>
    </w:p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74"/>
        <w:gridCol w:w="1701"/>
        <w:gridCol w:w="2551"/>
        <w:gridCol w:w="1701"/>
        <w:gridCol w:w="2551"/>
      </w:tblGrid>
      <w:tr>
        <w:trPr>
          <w:trHeight w:val="455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성명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연락처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55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주소</w:t>
            </w:r>
          </w:p>
        </w:tc>
        <w:tc>
          <w:tcPr>
            <w:tcW w:type="dxa" w:w="6803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55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반려동물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이름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종 / 품종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55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성별 / 중성화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□ 암  □ 수       □ 중성화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연령 / 체중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55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특이사항</w:t>
            </w:r>
          </w:p>
        </w:tc>
        <w:tc>
          <w:tcPr>
            <w:tcW w:type="dxa" w:w="6803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55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수의사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동물병원명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수의사 성명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55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면허번호</w:t>
            </w:r>
          </w:p>
        </w:tc>
        <w:tc>
          <w:tcPr>
            <w:tcW w:type="dxa" w:w="6803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</w:tbl>
    <w:p>
      <w:pPr>
        <w:spacing w:after="0" w:before="0" w:line="7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077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설명 및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동의사항</w:t>
            </w:r>
          </w:p>
          <w:p>
            <w:pPr>
              <w:spacing w:after="0" w:before="0" w:line="182" w:lineRule="exact"/>
              <w:jc w:val="center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동의하시는 부분에</w:t>
            </w:r>
            <w:r>
              <w:br/>
            </w: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체크해주세요.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위 반려동물의 수술등중대진료를 위해 전신마취가 필요합니다.</w:t>
            </w:r>
          </w:p>
          <w:p>
            <w:pPr>
              <w:spacing w:after="0" w:before="0" w:line="24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마취 중 심정지가 발생할 경우 아래 처치에 동의합니다.</w:t>
            </w:r>
          </w:p>
          <w:p>
            <w:pPr>
              <w:spacing w:after="0" w:before="0" w:line="11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8"/>
                <w:szCs w:val="8"/>
              </w:rPr>
              <w:t xml:space="preserve"/>
            </w:r>
          </w:p>
          <w:p>
            <w:pPr>
              <w:spacing w:after="0" w:before="0" w:line="24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□ 심폐소생술 원함          □ 심폐소생술 원하지 않음</w:t>
            </w:r>
          </w:p>
        </w:tc>
      </w:tr>
    </w:tbl>
    <w:p>
      <w:pPr>
        <w:spacing w:after="0" w:before="0" w:line="7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871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수술등중대진료의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필요성 ·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방법 및 내용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tbl>
            <w:tblPr>
              <w:tblW w:type="dxa" w:w="781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18"/>
              <w:gridCol w:w="2629"/>
              <w:gridCol w:w="1134"/>
              <w:gridCol w:w="2629"/>
            </w:tblGrid>
            <w:tr>
              <w:trPr>
                <w:trHeight w:val="408" w:hRule="exact"/>
              </w:trPr>
              <w:tc>
                <w:tcPr>
                  <w:tcW w:type="dxa" w:w="1418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EFEFEF" w:val="clear"/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/>
                      <w:bCs/>
                      <w:snapToGrid w:val="false"/>
                      <w:color w:val="333333"/>
                      <w:sz w:val="16"/>
                      <w:szCs w:val="16"/>
                    </w:rPr>
                    <w:t xml:space="preserve">진단명</w:t>
                  </w:r>
                </w:p>
              </w:tc>
              <w:tc>
                <w:tcPr>
                  <w:tcW w:type="dxa" w:w="2629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40" w:lineRule="exact"/>
                  </w:pPr>
                </w:p>
              </w:tc>
              <w:tc>
                <w:tcPr>
                  <w:tcW w:type="dxa" w:w="1134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EFEFEF" w:val="clear"/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/>
                      <w:bCs/>
                      <w:snapToGrid w:val="false"/>
                      <w:color w:val="333333"/>
                      <w:sz w:val="16"/>
                      <w:szCs w:val="16"/>
                    </w:rPr>
                    <w:t xml:space="preserve">예정 일시</w:t>
                  </w:r>
                </w:p>
              </w:tc>
              <w:tc>
                <w:tcPr>
                  <w:tcW w:type="dxa" w:w="2629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40" w:lineRule="exact"/>
                  </w:pPr>
                </w:p>
              </w:tc>
            </w:tr>
            <w:tr>
              <w:trPr>
                <w:trHeight w:val="408" w:hRule="exact"/>
              </w:trPr>
              <w:tc>
                <w:tcPr>
                  <w:tcW w:type="dxa" w:w="1418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EFEFEF" w:val="clear"/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/>
                      <w:bCs/>
                      <w:snapToGrid w:val="false"/>
                      <w:color w:val="333333"/>
                      <w:sz w:val="16"/>
                      <w:szCs w:val="16"/>
                    </w:rPr>
                    <w:t xml:space="preserve">수술 / 처치명</w:t>
                  </w:r>
                </w:p>
              </w:tc>
              <w:tc>
                <w:tcPr>
                  <w:tcW w:type="dxa" w:w="2629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40" w:lineRule="exact"/>
                  </w:pPr>
                </w:p>
              </w:tc>
              <w:tc>
                <w:tcPr>
                  <w:tcW w:type="dxa" w:w="1134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EFEFEF" w:val="clear"/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/>
                      <w:bCs/>
                      <w:snapToGrid w:val="false"/>
                      <w:color w:val="333333"/>
                      <w:sz w:val="16"/>
                      <w:szCs w:val="16"/>
                    </w:rPr>
                    <w:t xml:space="preserve">마취 방식</w:t>
                  </w:r>
                </w:p>
              </w:tc>
              <w:tc>
                <w:tcPr>
                  <w:tcW w:type="dxa" w:w="2629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40" w:lineRule="exact"/>
                  </w:pPr>
                </w:p>
              </w:tc>
            </w:tr>
            <w:tr>
              <w:trPr>
                <w:trHeight w:val="454" w:hRule="exact"/>
              </w:trPr>
              <w:tc>
                <w:tcPr>
                  <w:tcW w:type="dxa" w:w="1418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EFEFEF" w:val="clear"/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/>
                      <w:bCs/>
                      <w:snapToGrid w:val="false"/>
                      <w:color w:val="333333"/>
                      <w:sz w:val="16"/>
                      <w:szCs w:val="16"/>
                    </w:rPr>
                    <w:t xml:space="preserve">필요성</w:t>
                  </w:r>
                </w:p>
              </w:tc>
              <w:tc>
                <w:tcPr>
                  <w:tcW w:type="dxa" w:w="6392"/>
                  <w:gridSpan w:val="3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40" w:lineRule="exact"/>
                  </w:pPr>
                </w:p>
              </w:tc>
            </w:tr>
            <w:tr>
              <w:trPr>
                <w:trHeight w:val="454" w:hRule="exact"/>
              </w:trPr>
              <w:tc>
                <w:tcPr>
                  <w:tcW w:type="dxa" w:w="1418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EFEFEF" w:val="clear"/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/>
                      <w:bCs/>
                      <w:snapToGrid w:val="false"/>
                      <w:color w:val="333333"/>
                      <w:sz w:val="16"/>
                      <w:szCs w:val="16"/>
                    </w:rPr>
                    <w:t xml:space="preserve">방법 및 내용</w:t>
                  </w:r>
                </w:p>
              </w:tc>
              <w:tc>
                <w:tcPr>
                  <w:tcW w:type="dxa" w:w="6392"/>
                  <w:gridSpan w:val="3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40" w:lineRule="exact"/>
                  </w:pPr>
                </w:p>
              </w:tc>
            </w:tr>
          </w:tbl>
          <w:p>
            <w:pPr>
              <w:spacing w:after="0" w:before="0" w:line="20" w:lineRule="exact"/>
            </w:pPr>
          </w:p>
        </w:tc>
      </w:tr>
    </w:tbl>
    <w:p>
      <w:pPr>
        <w:spacing w:after="0" w:before="0" w:line="7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2466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수술등중대진료에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따라 전형적으로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발생이 예상되는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후유증 또는 부작용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tbl>
            <w:tblPr>
              <w:tblW w:type="dxa" w:w="781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603"/>
              <w:gridCol w:w="2603"/>
              <w:gridCol w:w="2604"/>
            </w:tblGrid>
            <w:tr>
              <w:trPr>
                <w:trHeight w:val="306" w:hRule="exact"/>
              </w:trPr>
              <w:tc>
                <w:tcPr>
                  <w:tcW w:type="dxa" w:w="2603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10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5"/>
                      <w:szCs w:val="15"/>
                    </w:rPr>
                    <w:t xml:space="preserve">1) 저혈압, 저체온, 고체온</w:t>
                  </w:r>
                </w:p>
              </w:tc>
              <w:tc>
                <w:tcPr>
                  <w:tcW w:type="dxa" w:w="2603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10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5"/>
                      <w:szCs w:val="15"/>
                    </w:rPr>
                    <w:t xml:space="preserve">2) 약물과민반응에 의한 쇼크</w:t>
                  </w:r>
                </w:p>
              </w:tc>
              <w:tc>
                <w:tcPr>
                  <w:tcW w:type="dxa" w:w="2604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10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5"/>
                      <w:szCs w:val="15"/>
                    </w:rPr>
                    <w:t xml:space="preserve">3) 순환부전에 의한 쇼크</w:t>
                  </w:r>
                </w:p>
              </w:tc>
            </w:tr>
            <w:tr>
              <w:trPr>
                <w:trHeight w:val="306" w:hRule="exact"/>
              </w:trPr>
              <w:tc>
                <w:tcPr>
                  <w:tcW w:type="dxa" w:w="2603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10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5"/>
                      <w:szCs w:val="15"/>
                    </w:rPr>
                    <w:t xml:space="preserve">4) 췌장염, 신부전 및 폐수종</w:t>
                  </w:r>
                </w:p>
              </w:tc>
              <w:tc>
                <w:tcPr>
                  <w:tcW w:type="dxa" w:w="2603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10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5"/>
                      <w:szCs w:val="15"/>
                    </w:rPr>
                    <w:t xml:space="preserve">5) 기저질환 발현 및 현증악화</w:t>
                  </w:r>
                </w:p>
              </w:tc>
              <w:tc>
                <w:tcPr>
                  <w:tcW w:type="dxa" w:w="2604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10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5"/>
                      <w:szCs w:val="15"/>
                    </w:rPr>
                    <w:t xml:space="preserve">6) 삽관에 의한 일시적 기침</w:t>
                  </w:r>
                </w:p>
              </w:tc>
            </w:tr>
          </w:tbl>
          <w:p>
            <w:pPr>
              <w:spacing w:after="0" w:before="0" w:line="11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8"/>
                <w:szCs w:val="8"/>
              </w:rPr>
              <w:t xml:space="preserve"/>
            </w:r>
          </w:p>
          <w:tbl>
            <w:tblPr>
              <w:tblW w:type="dxa" w:w="781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86"/>
              <w:gridCol w:w="820"/>
              <w:gridCol w:w="5467"/>
              <w:gridCol w:w="937"/>
            </w:tblGrid>
            <w:tr>
              <w:trPr>
                <w:trHeight w:val="272" w:hRule="exact"/>
              </w:trPr>
              <w:tc>
                <w:tcPr>
                  <w:tcW w:type="dxa" w:w="586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EFEFEF" w:val="clear"/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196" w:lineRule="exact"/>
                    <w:jc w:val="center"/>
                  </w:pPr>
                  <w:r>
                    <w:rPr>
                      <w:rFonts w:ascii="Malgun Gothic" w:eastAsia="Malgun Gothic" w:hAnsi="Malgun Gothic"/>
                      <w:b/>
                      <w:bCs/>
                      <w:snapToGrid w:val="false"/>
                      <w:color w:val="333333"/>
                      <w:sz w:val="14"/>
                      <w:szCs w:val="14"/>
                    </w:rPr>
                    <w:t xml:space="preserve">체크</w:t>
                  </w:r>
                </w:p>
              </w:tc>
              <w:tc>
                <w:tcPr>
                  <w:tcW w:type="dxa" w:w="820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EFEFEF" w:val="clear"/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196" w:lineRule="exact"/>
                    <w:jc w:val="center"/>
                  </w:pPr>
                  <w:r>
                    <w:rPr>
                      <w:rFonts w:ascii="Malgun Gothic" w:eastAsia="Malgun Gothic" w:hAnsi="Malgun Gothic"/>
                      <w:b/>
                      <w:bCs/>
                      <w:snapToGrid w:val="false"/>
                      <w:color w:val="333333"/>
                      <w:sz w:val="14"/>
                      <w:szCs w:val="14"/>
                    </w:rPr>
                    <w:t xml:space="preserve">ASA 등급</w:t>
                  </w:r>
                </w:p>
              </w:tc>
              <w:tc>
                <w:tcPr>
                  <w:tcW w:type="dxa" w:w="5467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EFEFEF" w:val="clear"/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196" w:lineRule="exact"/>
                    <w:jc w:val="center"/>
                  </w:pPr>
                  <w:r>
                    <w:rPr>
                      <w:rFonts w:ascii="Malgun Gothic" w:eastAsia="Malgun Gothic" w:hAnsi="Malgun Gothic"/>
                      <w:b/>
                      <w:bCs/>
                      <w:snapToGrid w:val="false"/>
                      <w:color w:val="333333"/>
                      <w:sz w:val="14"/>
                      <w:szCs w:val="14"/>
                    </w:rPr>
                    <w:t xml:space="preserve">정 의</w:t>
                  </w:r>
                </w:p>
              </w:tc>
              <w:tc>
                <w:tcPr>
                  <w:tcW w:type="dxa" w:w="937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EFEFEF" w:val="clear"/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196" w:lineRule="exact"/>
                    <w:jc w:val="center"/>
                  </w:pPr>
                  <w:r>
                    <w:rPr>
                      <w:rFonts w:ascii="Malgun Gothic" w:eastAsia="Malgun Gothic" w:hAnsi="Malgun Gothic"/>
                      <w:b/>
                      <w:bCs/>
                      <w:snapToGrid w:val="false"/>
                      <w:color w:val="333333"/>
                      <w:sz w:val="14"/>
                      <w:szCs w:val="14"/>
                    </w:rPr>
                    <w:t xml:space="preserve">사망률(%)</w:t>
                  </w:r>
                </w:p>
              </w:tc>
            </w:tr>
            <w:tr>
              <w:trPr>
                <w:trHeight w:val="272" w:hRule="exact"/>
              </w:trPr>
              <w:tc>
                <w:tcPr>
                  <w:tcW w:type="dxa" w:w="586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196" w:lineRule="exact"/>
                    <w:jc w:val="center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4"/>
                      <w:szCs w:val="14"/>
                    </w:rPr>
                    <w:t xml:space="preserve">□</w:t>
                  </w:r>
                </w:p>
              </w:tc>
              <w:tc>
                <w:tcPr>
                  <w:tcW w:type="dxa" w:w="820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196" w:lineRule="exact"/>
                    <w:jc w:val="center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4"/>
                      <w:szCs w:val="14"/>
                    </w:rPr>
                    <w:t xml:space="preserve">Ⅰ</w:t>
                  </w:r>
                </w:p>
              </w:tc>
              <w:tc>
                <w:tcPr>
                  <w:tcW w:type="dxa" w:w="5467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196" w:lineRule="exact"/>
                    <w:jc w:val="center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4"/>
                      <w:szCs w:val="14"/>
                    </w:rPr>
                    <w:t xml:space="preserve">정상적이고 건강한 개체</w:t>
                  </w:r>
                </w:p>
              </w:tc>
              <w:tc>
                <w:tcPr>
                  <w:tcW w:type="dxa" w:w="937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196" w:lineRule="exact"/>
                    <w:jc w:val="center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4"/>
                      <w:szCs w:val="14"/>
                    </w:rPr>
                    <w:t xml:space="preserve">0.1</w:t>
                  </w:r>
                </w:p>
              </w:tc>
            </w:tr>
            <w:tr>
              <w:trPr>
                <w:trHeight w:val="272" w:hRule="exact"/>
              </w:trPr>
              <w:tc>
                <w:tcPr>
                  <w:tcW w:type="dxa" w:w="586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196" w:lineRule="exact"/>
                    <w:jc w:val="center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4"/>
                      <w:szCs w:val="14"/>
                    </w:rPr>
                    <w:t xml:space="preserve">□</w:t>
                  </w:r>
                </w:p>
              </w:tc>
              <w:tc>
                <w:tcPr>
                  <w:tcW w:type="dxa" w:w="820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196" w:lineRule="exact"/>
                    <w:jc w:val="center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4"/>
                      <w:szCs w:val="14"/>
                    </w:rPr>
                    <w:t xml:space="preserve">Ⅱ</w:t>
                  </w:r>
                </w:p>
              </w:tc>
              <w:tc>
                <w:tcPr>
                  <w:tcW w:type="dxa" w:w="5467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196" w:lineRule="exact"/>
                    <w:jc w:val="center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4"/>
                      <w:szCs w:val="14"/>
                    </w:rPr>
                    <w:t xml:space="preserve">활동을 제한하지 않는 가벼운 전신적 질환</w:t>
                  </w:r>
                </w:p>
              </w:tc>
              <w:tc>
                <w:tcPr>
                  <w:tcW w:type="dxa" w:w="937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196" w:lineRule="exact"/>
                    <w:jc w:val="center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4"/>
                      <w:szCs w:val="14"/>
                    </w:rPr>
                    <w:t xml:space="preserve">1</w:t>
                  </w:r>
                </w:p>
              </w:tc>
            </w:tr>
            <w:tr>
              <w:trPr>
                <w:trHeight w:val="272" w:hRule="exact"/>
              </w:trPr>
              <w:tc>
                <w:tcPr>
                  <w:tcW w:type="dxa" w:w="586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196" w:lineRule="exact"/>
                    <w:jc w:val="center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4"/>
                      <w:szCs w:val="14"/>
                    </w:rPr>
                    <w:t xml:space="preserve">□</w:t>
                  </w:r>
                </w:p>
              </w:tc>
              <w:tc>
                <w:tcPr>
                  <w:tcW w:type="dxa" w:w="820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196" w:lineRule="exact"/>
                    <w:jc w:val="center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4"/>
                      <w:szCs w:val="14"/>
                    </w:rPr>
                    <w:t xml:space="preserve">Ⅲ</w:t>
                  </w:r>
                </w:p>
              </w:tc>
              <w:tc>
                <w:tcPr>
                  <w:tcW w:type="dxa" w:w="5467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196" w:lineRule="exact"/>
                    <w:jc w:val="center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4"/>
                      <w:szCs w:val="14"/>
                    </w:rPr>
                    <w:t xml:space="preserve">활동이 가능한 중증의 전신적 질환</w:t>
                  </w:r>
                </w:p>
              </w:tc>
              <w:tc>
                <w:tcPr>
                  <w:tcW w:type="dxa" w:w="937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196" w:lineRule="exact"/>
                    <w:jc w:val="center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4"/>
                      <w:szCs w:val="14"/>
                    </w:rPr>
                    <w:t xml:space="preserve">10</w:t>
                  </w:r>
                </w:p>
              </w:tc>
            </w:tr>
            <w:tr>
              <w:trPr>
                <w:trHeight w:val="272" w:hRule="exact"/>
              </w:trPr>
              <w:tc>
                <w:tcPr>
                  <w:tcW w:type="dxa" w:w="586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196" w:lineRule="exact"/>
                    <w:jc w:val="center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4"/>
                      <w:szCs w:val="14"/>
                    </w:rPr>
                    <w:t xml:space="preserve">□</w:t>
                  </w:r>
                </w:p>
              </w:tc>
              <w:tc>
                <w:tcPr>
                  <w:tcW w:type="dxa" w:w="820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196" w:lineRule="exact"/>
                    <w:jc w:val="center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4"/>
                      <w:szCs w:val="14"/>
                    </w:rPr>
                    <w:t xml:space="preserve">Ⅳ</w:t>
                  </w:r>
                </w:p>
              </w:tc>
              <w:tc>
                <w:tcPr>
                  <w:tcW w:type="dxa" w:w="5467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196" w:lineRule="exact"/>
                    <w:jc w:val="center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4"/>
                      <w:szCs w:val="14"/>
                    </w:rPr>
                    <w:t xml:space="preserve">지속적으로 생명을 위협하며, 활동이 불가능한 전신적 질환</w:t>
                  </w:r>
                </w:p>
              </w:tc>
              <w:tc>
                <w:tcPr>
                  <w:tcW w:type="dxa" w:w="937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196" w:lineRule="exact"/>
                    <w:jc w:val="center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4"/>
                      <w:szCs w:val="14"/>
                    </w:rPr>
                    <w:t xml:space="preserve">30</w:t>
                  </w:r>
                </w:p>
              </w:tc>
            </w:tr>
            <w:tr>
              <w:trPr>
                <w:trHeight w:val="272" w:hRule="exact"/>
              </w:trPr>
              <w:tc>
                <w:tcPr>
                  <w:tcW w:type="dxa" w:w="586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196" w:lineRule="exact"/>
                    <w:jc w:val="center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4"/>
                      <w:szCs w:val="14"/>
                    </w:rPr>
                    <w:t xml:space="preserve">□</w:t>
                  </w:r>
                </w:p>
              </w:tc>
              <w:tc>
                <w:tcPr>
                  <w:tcW w:type="dxa" w:w="820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196" w:lineRule="exact"/>
                    <w:jc w:val="center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4"/>
                      <w:szCs w:val="14"/>
                    </w:rPr>
                    <w:t xml:space="preserve">Ⅴ</w:t>
                  </w:r>
                </w:p>
              </w:tc>
              <w:tc>
                <w:tcPr>
                  <w:tcW w:type="dxa" w:w="5467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196" w:lineRule="exact"/>
                    <w:jc w:val="center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4"/>
                      <w:szCs w:val="14"/>
                    </w:rPr>
                    <w:t xml:space="preserve">수술과 관계없이 24시간 이내에 사망할 수 있는 빈사 상태</w:t>
                  </w:r>
                </w:p>
              </w:tc>
              <w:tc>
                <w:tcPr>
                  <w:tcW w:type="dxa" w:w="937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196" w:lineRule="exact"/>
                    <w:jc w:val="center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4"/>
                      <w:szCs w:val="14"/>
                    </w:rPr>
                    <w:t xml:space="preserve">50</w:t>
                  </w:r>
                </w:p>
              </w:tc>
            </w:tr>
          </w:tbl>
          <w:p>
            <w:pPr>
              <w:spacing w:after="0" w:before="0" w:line="20" w:lineRule="exact"/>
            </w:pPr>
          </w:p>
        </w:tc>
      </w:tr>
    </w:tbl>
    <w:p>
      <w:pPr>
        <w:spacing w:after="0" w:before="0" w:line="7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673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수술등중대진료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전후에 보호자의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준수 및 숙지사항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65" w:hanging="165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5"/>
                <w:szCs w:val="15"/>
              </w:rPr>
              <w:t xml:space="preserve">· 마취 시 수술 전 일정 시간의 금식과 금수가 필수적입니다.</w:t>
            </w:r>
          </w:p>
          <w:p>
            <w:pPr>
              <w:spacing w:after="0" w:before="0" w:line="250" w:lineRule="exact"/>
              <w:ind w:left="165" w:hanging="165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5"/>
                <w:szCs w:val="15"/>
              </w:rPr>
              <w:t xml:space="preserve">· 마취로 발생할 수 있는 부작용 · 합병증 · 후유증에 대한 설명을 충분히 듣고 이해했습니다.</w:t>
            </w:r>
          </w:p>
          <w:p>
            <w:pPr>
              <w:spacing w:after="0" w:before="0" w:line="250" w:lineRule="exact"/>
              <w:ind w:left="165" w:hanging="165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5"/>
                <w:szCs w:val="15"/>
              </w:rPr>
              <w:t xml:space="preserve">· 마취 과정에서 불가항력적이거나 환자의 특이체질로 인한 우발사고의 가능성을 인정합니다.</w:t>
            </w:r>
          </w:p>
          <w:p>
            <w:pPr>
              <w:spacing w:after="0" w:before="0" w:line="250" w:lineRule="exact"/>
              <w:ind w:left="165" w:hanging="165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5"/>
                <w:szCs w:val="15"/>
              </w:rPr>
              <w:t xml:space="preserve">· 보호자의 자유 의사에 의하여 마취를 시행하는 것에 동의합니다.</w:t>
            </w:r>
          </w:p>
          <w:p>
            <w:pPr>
              <w:spacing w:after="0" w:before="0" w:line="250" w:lineRule="exact"/>
              <w:ind w:left="165" w:hanging="165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5"/>
                <w:szCs w:val="15"/>
              </w:rPr>
              <w:t xml:space="preserve">· 마취 및 수술비 설명을 들었으며, 필요시 구두 동의 하에 추가 검사 · 추가 수술 진행에 동의합니다.</w:t>
            </w:r>
          </w:p>
        </w:tc>
      </w:tr>
    </w:tbl>
    <w:p>
      <w:pPr>
        <w:spacing w:after="0" w:before="0" w:line="22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78"/>
      </w:tblGrid>
      <w:tr>
        <w:trPr>
          <w:trHeight w:val="964" w:hRule="exact"/>
        </w:trPr>
        <w:tc>
          <w:tcPr>
            <w:tcW w:type="dxa" w:w="99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24" w:lineRule="exact"/>
              <w:jc w:val="center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「수의사법」 제13조의2 및 같은 법 시행규칙 제13조의2에 따라 위와 같이 수의사로부터 수술등중대진료의 필요성 · 방법 · 내용과 전형적으로 발생이 예상되는 후유증 및 부작용에 관한 설명을 충분히 듣고 이해하였습니다. 이에 위 수술등중대진료 및 마취의 시행에 동의하며, 시행 과정에서 필요한 수의학적 판단과 처리를 담당 수의사에게 위임합니다.</w:t>
            </w:r>
          </w:p>
        </w:tc>
      </w:tr>
    </w:tbl>
    <w:p>
      <w:pPr>
        <w:spacing w:after="0" w:before="0" w:line="18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0"/>
        <w:gridCol w:w="1100"/>
        <w:gridCol w:w="1049"/>
        <w:gridCol w:w="1250"/>
        <w:gridCol w:w="1100"/>
        <w:gridCol w:w="1049"/>
        <w:gridCol w:w="1250"/>
      </w:tblGrid>
      <w:tr>
        <w:trPr>
          <w:trHeight w:val="570" w:hRule="exact"/>
        </w:trPr>
        <w:tc>
          <w:tcPr>
            <w:tcW w:type="dxa" w:w="3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dxa" w:w="31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0"/>
              <w:gridCol w:w="620"/>
              <w:gridCol w:w="300"/>
              <w:gridCol w:w="620"/>
              <w:gridCol w:w="300"/>
              <w:gridCol w:w="620"/>
              <w:gridCol w:w="300"/>
              <w:gridCol w:w="280"/>
            </w:tblGrid>
            <w:tr>
              <w:trPr>
                <w:trHeight w:val="470" w:hRule="exact"/>
              </w:trPr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20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년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월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일</w:t>
                  </w:r>
                </w:p>
              </w:tc>
              <w:tc>
                <w:tcPr>
                  <w:tcW w:type="dxa" w:w="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</w:tr>
          </w:tbl>
          <w:p>
            <w:pPr>
              <w:spacing w:after="0" w:before="0" w:line="20" w:lineRule="exact"/>
            </w:pP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설명 수의사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</w:tr>
    </w:tbl>
    <w:p>
      <w:pPr>
        <w:spacing w:after="0" w:before="0" w:line="120" w:lineRule="exact"/>
      </w:pPr>
    </w:p>
    <w:sectPr>
      <w:headerReference w:type="default" r:id="rId7"/>
      <w:footerReference w:type="default" r:id="rId8"/>
      <w:pgSz w:w="11906" w:h="16838" w:orient="portrait"/>
      <w:pgMar w:top="851" w:right="964" w:bottom="1701" w:left="964" w:header="340" w:footer="794" w:gutter="0"/>
      <w:pgBorders w:display="allPages" w:offsetFrom="page" w:zOrder="back">
        <w:top w:val="single" w:color="1B3A5C" w:sz="18" w:space="27"/>
        <w:left w:val="single" w:color="1B3A5C" w:sz="18" w:space="27"/>
        <w:bottom w:val="single" w:color="1B3A5C" w:sz="18" w:space="27"/>
        <w:right w:val="single" w:color="1B3A5C" w:sz="18" w:space="27"/>
      </w:pgBorders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97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2600"/>
      <w:gridCol w:w="2400"/>
      <w:gridCol w:w="4978"/>
    </w:tblGrid>
    <w:tr>
      <w:trPr>
        <w:trHeight w:val="430" w:hRule="exact"/>
      </w:trPr>
      <w:tc>
        <w:tcPr>
          <w:tcW w:type="dxa" w:w="2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20"/>
            <w:left w:type="dxa" w:w="90"/>
            <w:bottom w:type="dxa" w:w="20"/>
            <w:right w:type="dxa" w:w="70"/>
          </w:tcMar>
          <w:vAlign w:val="center"/>
        </w:tcPr>
        <w:p>
          <w:pPr>
            <w:spacing w:after="0" w:before="0" w:line="28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2"/>
              <w:szCs w:val="2"/>
            </w:rPr>
            <w:t xml:space="preserve"/>
          </w:r>
        </w:p>
      </w:tc>
      <w:tc>
        <w:tcPr>
          <w:tcW w:type="dxa" w:w="24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100"/>
          </w:tcMar>
          <w:vAlign w:val="center"/>
        </w:tcPr>
        <w:p>
          <w:pPr>
            <w:spacing w:after="0" w:before="0" w:line="400" w:lineRule="exact"/>
          </w:pPr>
          <w:r>
            <w:drawing>
              <wp:inline distT="0" distB="0" distL="0" distR="0">
                <wp:extent cx="1162050" cy="2286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62050" cy="228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97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* 본 병원은 한국동물병원협회(KAHA) 회원병원입니다.</w:t>
          </w:r>
        </w:p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● Korean Animal Hospital Association (KAHA)</w:t>
          </w:r>
        </w:p>
      </w:tc>
    </w:tr>
  </w:tbl>
  <w:p>
    <w:pPr>
      <w:spacing w:after="0" w:before="0" w:line="20" w:lineRule="exac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0" w:lineRule="exact"/>
    </w:pPr>
    <w:r>
      <w:drawing>
        <wp:anchor distT="0" distB="0" distL="0" distR="0" simplePos="0" allowOverlap="1" behindDoc="1" locked="0" layoutInCell="1" relativeHeight="3181350">
          <wp:simplePos x="0" y="0"/>
          <wp:positionH relativeFrom="page">
            <wp:posOffset>1330000</wp:posOffset>
          </wp:positionH>
          <wp:positionV relativeFrom="page">
            <wp:posOffset>2540000</wp:posOffset>
          </wp:positionV>
          <wp:extent cx="3181350" cy="318135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81350" cy="3181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eastAsia="Malgun Gothic" w:hAnsi="Malgun Gothic"/>
        <w:color w:val="333333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8b32ad6c92508a48ef124ddbb7903e428f5019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d4e16a7fcee7d56e0bf22c1b9b1fc23bf7279317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d457837526ee2d4da8f01a327c406c611f34357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2026-10-20T08:08:32.036Z</dcterms:created>
  <dcterms:modified xsi:type="dcterms:W3CDTF">2026-10-20T08:08:32.036Z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