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50"/>
        <w:gridCol w:w="9128"/>
      </w:tblGrid>
      <w:tr>
        <w:trPr>
          <w:trHeight w:val="800" w:hRule="exact"/>
        </w:trPr>
        <w:tc>
          <w:tcPr>
            <w:tcW w:type="dxa" w:w="8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60"/>
            </w:tcMar>
            <w:vAlign w:val="center"/>
          </w:tcPr>
          <w:p>
            <w:pPr>
              <w:spacing w:after="0" w:before="0" w:line="800" w:lineRule="exact"/>
            </w:pPr>
            <w:r>
              <w:drawing>
                <wp:inline distT="0" distB="0" distL="0" distR="0">
                  <wp:extent cx="438150" cy="4381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8150" cy="438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912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 w:line="560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1B3A5C"/>
                <w:sz w:val="40"/>
                <w:szCs w:val="40"/>
              </w:rPr>
              <w:t xml:space="preserve">고환 절제술 동의서</w:t>
            </w:r>
          </w:p>
        </w:tc>
      </w:tr>
    </w:tbl>
    <w:p>
      <w:pPr>
        <w:spacing w:after="0" w:before="100" w:line="240" w:lineRule="exact"/>
      </w:pPr>
      <w:r>
        <w:rPr>
          <w:rFonts w:ascii="Malgun Gothic" w:eastAsia="Malgun Gothic" w:hAnsi="Malgun Gothic"/>
          <w:b w:val="false"/>
          <w:bCs w:val="false"/>
          <w:snapToGrid w:val="false"/>
          <w:color w:val="333333"/>
          <w:sz w:val="16"/>
          <w:szCs w:val="16"/>
        </w:rPr>
        <w:t xml:space="preserve">본 동의서는 「수의사법」 제13조의2 및 같은 법 시행규칙 제13조의2에 따라 작성되었습니다.</w:t>
      </w:r>
    </w:p>
    <w:p>
      <w:pPr>
        <w:spacing w:after="0" w:before="0" w:line="150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74"/>
        <w:gridCol w:w="1701"/>
        <w:gridCol w:w="2551"/>
        <w:gridCol w:w="1701"/>
        <w:gridCol w:w="2551"/>
      </w:tblGrid>
      <w:tr>
        <w:trPr>
          <w:trHeight w:val="484" w:hRule="exact"/>
        </w:trPr>
        <w:tc>
          <w:tcPr>
            <w:tcW w:type="dxa" w:w="1474"/>
            <w:vMerge w:val="restart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보호자</w:t>
            </w: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성명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연락처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  <w:tr>
        <w:trPr>
          <w:trHeight w:val="484" w:hRule="exact"/>
        </w:trPr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주소</w:t>
            </w:r>
          </w:p>
        </w:tc>
        <w:tc>
          <w:tcPr>
            <w:tcW w:type="dxa" w:w="6803"/>
            <w:gridSpan w:val="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  <w:tr>
        <w:trPr>
          <w:trHeight w:val="484" w:hRule="exact"/>
        </w:trPr>
        <w:tc>
          <w:tcPr>
            <w:tcW w:type="dxa" w:w="1474"/>
            <w:vMerge w:val="restart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반려동물</w:t>
            </w: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이름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종 / 품종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  <w:tr>
        <w:trPr>
          <w:trHeight w:val="484" w:hRule="exact"/>
        </w:trPr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성별 / 중성화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24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□ 암  □ 수       □ 중성화</w:t>
            </w: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연령 / 체중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  <w:tr>
        <w:trPr>
          <w:trHeight w:val="484" w:hRule="exact"/>
        </w:trPr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특이사항</w:t>
            </w:r>
          </w:p>
        </w:tc>
        <w:tc>
          <w:tcPr>
            <w:tcW w:type="dxa" w:w="6803"/>
            <w:gridSpan w:val="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  <w:tr>
        <w:trPr>
          <w:trHeight w:val="484" w:hRule="exact"/>
        </w:trPr>
        <w:tc>
          <w:tcPr>
            <w:tcW w:type="dxa" w:w="1474"/>
            <w:vMerge w:val="restart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수의사</w:t>
            </w: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동물병원명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수의사 성명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  <w:tr>
        <w:trPr>
          <w:trHeight w:val="484" w:hRule="exact"/>
        </w:trPr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면허번호</w:t>
            </w:r>
          </w:p>
        </w:tc>
        <w:tc>
          <w:tcPr>
            <w:tcW w:type="dxa" w:w="6803"/>
            <w:gridSpan w:val="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</w:tbl>
    <w:p>
      <w:pPr>
        <w:spacing w:after="0" w:before="0" w:line="136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61"/>
        <w:gridCol w:w="3588"/>
        <w:gridCol w:w="80"/>
        <w:gridCol w:w="1361"/>
        <w:gridCol w:w="3588"/>
      </w:tblGrid>
      <w:tr>
        <w:trPr>
          <w:trHeight w:val="624" w:hRule="exact"/>
        </w:trPr>
        <w:tc>
          <w:tcPr>
            <w:tcW w:type="dxa" w:w="13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24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6"/>
                <w:szCs w:val="16"/>
              </w:rPr>
              <w:t xml:space="preserve">진 단 명</w:t>
            </w:r>
          </w:p>
        </w:tc>
        <w:tc>
          <w:tcPr>
            <w:tcW w:type="dxa" w:w="35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24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중성화 (수컷) (Castration)</w:t>
            </w:r>
          </w:p>
        </w:tc>
        <w:tc>
          <w:tcPr>
            <w:tcW w:type="dxa" w:w="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8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2"/>
                <w:szCs w:val="2"/>
              </w:rPr>
              <w:t xml:space="preserve"/>
            </w:r>
          </w:p>
        </w:tc>
        <w:tc>
          <w:tcPr>
            <w:tcW w:type="dxa" w:w="13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24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6"/>
                <w:szCs w:val="16"/>
              </w:rPr>
              <w:t xml:space="preserve">시행 방법</w:t>
            </w:r>
          </w:p>
        </w:tc>
        <w:tc>
          <w:tcPr>
            <w:tcW w:type="dxa" w:w="35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24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고환 절제술 (Castration)</w:t>
            </w:r>
          </w:p>
        </w:tc>
      </w:tr>
    </w:tbl>
    <w:p>
      <w:pPr>
        <w:spacing w:after="0" w:before="0" w:line="136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8050"/>
      </w:tblGrid>
      <w:tr>
        <w:trPr>
          <w:trHeight w:val="1400" w:hRule="exact"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질환에 대한 설명</w:t>
            </w:r>
          </w:p>
        </w:tc>
        <w:tc>
          <w:tcPr>
            <w:tcW w:type="dxa" w:w="8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고환을 제거해 번식을 막고 수컷 호르몬과 관련된 문제를 줄이는 수술입니다.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전립선 비대, 회음 탈장, 항문주위선종의 위험을 낮춥니다.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마운팅·배회 같은 행동이 줄어드는 경우가 많습니다.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</w:tc>
      </w:tr>
    </w:tbl>
    <w:p>
      <w:pPr>
        <w:spacing w:after="0" w:before="0" w:line="136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8050"/>
      </w:tblGrid>
      <w:tr>
        <w:trPr>
          <w:trHeight w:val="1150" w:hRule="exact"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진료의 필요성 ·</w:t>
            </w:r>
            <w:r>
              <w:br/>
            </w: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방법 및 내용</w:t>
            </w:r>
          </w:p>
        </w:tc>
        <w:tc>
          <w:tcPr>
            <w:tcW w:type="dxa" w:w="8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번식 조절과 관련 질환 예방을 위해 수술이 필요합니다.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양측 고환을 절제합니다.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</w:tc>
      </w:tr>
    </w:tbl>
    <w:p>
      <w:pPr>
        <w:spacing w:after="0" w:before="0" w:line="136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8050"/>
      </w:tblGrid>
      <w:tr>
        <w:trPr>
          <w:trHeight w:val="1900" w:hRule="exact"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전형적으로</w:t>
            </w:r>
            <w:r>
              <w:br/>
            </w: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발생이 예상되는</w:t>
            </w:r>
            <w:r>
              <w:br/>
            </w: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후유증 또는 부작용</w:t>
            </w:r>
          </w:p>
        </w:tc>
        <w:tc>
          <w:tcPr>
            <w:tcW w:type="dxa" w:w="8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음낭 부종, 혈종, 감염이 발생할 수 있습니다.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수술 후 체중 증가 경향이 있습니다.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행동 변화가 기대만큼 나타나지 않을 수 있습니다.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음낭에 혈종이나 부종이 생길 수 있습니다.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수술 후 대사가 느려져 체중이 늘기 쉽습니다.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</w:tc>
      </w:tr>
    </w:tbl>
    <w:p>
      <w:pPr>
        <w:spacing w:after="0" w:before="0" w:line="136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8050"/>
      </w:tblGrid>
      <w:tr>
        <w:trPr>
          <w:trHeight w:val="1150" w:hRule="exact"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진료 전후에</w:t>
            </w:r>
            <w:r>
              <w:br/>
            </w: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보호자의</w:t>
            </w:r>
            <w:r>
              <w:br/>
            </w: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준수 및 숙지 사항</w:t>
            </w:r>
          </w:p>
        </w:tc>
        <w:tc>
          <w:tcPr>
            <w:tcW w:type="dxa" w:w="8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넥카라를 착용하고 활동을 제한해야 합니다.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음낭 부종이 심해지면 내원해야 합니다.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</w:tc>
      </w:tr>
    </w:tbl>
    <w:p>
      <w:pPr>
        <w:spacing w:after="0" w:before="0" w:line="540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78"/>
      </w:tblGrid>
      <w:tr>
        <w:trPr>
          <w:trHeight w:val="964" w:hRule="exact"/>
        </w:trPr>
        <w:tc>
          <w:tcPr>
            <w:tcW w:type="dxa" w:w="997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 w:line="224" w:lineRule="exact"/>
              <w:jc w:val="center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「수의사법」 제13조의2 및 같은 법 시행규칙 제13조의2에 따라 위와 같이 수의사로부터 진료의 필요성 · 방법 · 내용과 전형적으로 예상되는 후유증 및 부작용에 관한 설명을 충분히 듣고 이해하였습니다. 이에 위 진료의 시행에 동의하며, 시행 과정에서 필요한 수의학적 판단과 처리를 담당 수의사에게 위임합니다.</w:t>
            </w:r>
          </w:p>
        </w:tc>
      </w:tr>
    </w:tbl>
    <w:p>
      <w:pPr>
        <w:spacing w:after="0" w:before="0" w:line="150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80"/>
        <w:gridCol w:w="1100"/>
        <w:gridCol w:w="1049"/>
        <w:gridCol w:w="1250"/>
        <w:gridCol w:w="1100"/>
        <w:gridCol w:w="1049"/>
        <w:gridCol w:w="1250"/>
      </w:tblGrid>
      <w:tr>
        <w:trPr>
          <w:trHeight w:val="570" w:hRule="exact"/>
        </w:trPr>
        <w:tc>
          <w:tcPr>
            <w:tcW w:type="dxa" w:w="31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tbl>
            <w:tblPr>
              <w:tblW w:type="dxa" w:w="318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00"/>
              <w:gridCol w:w="620"/>
              <w:gridCol w:w="300"/>
              <w:gridCol w:w="620"/>
              <w:gridCol w:w="300"/>
              <w:gridCol w:w="620"/>
              <w:gridCol w:w="300"/>
              <w:gridCol w:w="280"/>
            </w:tblGrid>
            <w:tr>
              <w:trPr>
                <w:trHeight w:val="470" w:hRule="exact"/>
              </w:trPr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>20</w:t>
                  </w:r>
                </w:p>
              </w:tc>
              <w:tc>
                <w:tcPr>
                  <w:tcW w:type="dxa" w:w="620"/>
                  <w:tcBorders>
                    <w:top w:val="none" w:color="FFFFFF" w:sz="0"/>
                    <w:left w:val="none" w:color="FFFFFF" w:sz="0"/>
                    <w:bottom w:val="single" w:color="9A9A9A" w:sz="4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>년</w:t>
                  </w:r>
                </w:p>
              </w:tc>
              <w:tc>
                <w:tcPr>
                  <w:tcW w:type="dxa" w:w="620"/>
                  <w:tcBorders>
                    <w:top w:val="none" w:color="FFFFFF" w:sz="0"/>
                    <w:left w:val="none" w:color="FFFFFF" w:sz="0"/>
                    <w:bottom w:val="single" w:color="9A9A9A" w:sz="4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>월</w:t>
                  </w:r>
                </w:p>
              </w:tc>
              <w:tc>
                <w:tcPr>
                  <w:tcW w:type="dxa" w:w="620"/>
                  <w:tcBorders>
                    <w:top w:val="none" w:color="FFFFFF" w:sz="0"/>
                    <w:left w:val="none" w:color="FFFFFF" w:sz="0"/>
                    <w:bottom w:val="single" w:color="9A9A9A" w:sz="4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>일</w:t>
                  </w:r>
                </w:p>
              </w:tc>
              <w:tc>
                <w:tcPr>
                  <w:tcW w:type="dxa" w:w="2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/>
                  </w:r>
                </w:p>
              </w:tc>
            </w:tr>
          </w:tbl>
          <w:p>
            <w:pPr>
              <w:spacing w:after="0" w:before="0" w:line="20" w:lineRule="exact"/>
            </w:pP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보호자</w:t>
            </w:r>
          </w:p>
        </w:tc>
        <w:tc>
          <w:tcPr>
            <w:tcW w:type="dxa" w:w="1049"/>
            <w:tcBorders>
              <w:top w:val="dotted" w:color="9A9A9A" w:sz="4"/>
              <w:left w:val="dotted" w:color="9A9A9A" w:sz="4"/>
              <w:bottom w:val="dotted" w:color="9A9A9A" w:sz="4"/>
              <w:right w:val="dotted" w:color="9A9A9A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7"/>
                <w:szCs w:val="17"/>
              </w:rPr>
              <w:t xml:space="preserve"/>
            </w:r>
          </w:p>
        </w:tc>
        <w:tc>
          <w:tcPr>
            <w:tcW w:type="dxa" w:w="12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0"/>
              <w:bottom w:type="dxa" w:w="0"/>
              <w:right w:type="dxa" w:w="0"/>
            </w:tcMar>
            <w:vAlign w:val="center"/>
          </w:tcPr>
          <w:p>
            <w:pPr>
              <w:spacing w:after="0" w:before="0" w:line="182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767676"/>
                <w:sz w:val="13"/>
                <w:szCs w:val="13"/>
              </w:rPr>
              <w:t xml:space="preserve">(서명 또는 인)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설명 수의사</w:t>
            </w:r>
          </w:p>
        </w:tc>
        <w:tc>
          <w:tcPr>
            <w:tcW w:type="dxa" w:w="1049"/>
            <w:tcBorders>
              <w:top w:val="dotted" w:color="9A9A9A" w:sz="4"/>
              <w:left w:val="dotted" w:color="9A9A9A" w:sz="4"/>
              <w:bottom w:val="dotted" w:color="9A9A9A" w:sz="4"/>
              <w:right w:val="dotted" w:color="9A9A9A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7"/>
                <w:szCs w:val="17"/>
              </w:rPr>
              <w:t xml:space="preserve"/>
            </w:r>
          </w:p>
        </w:tc>
        <w:tc>
          <w:tcPr>
            <w:tcW w:type="dxa" w:w="12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0"/>
              <w:bottom w:type="dxa" w:w="0"/>
              <w:right w:type="dxa" w:w="0"/>
            </w:tcMar>
            <w:vAlign w:val="center"/>
          </w:tcPr>
          <w:p>
            <w:pPr>
              <w:spacing w:after="0" w:before="0" w:line="182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767676"/>
                <w:sz w:val="13"/>
                <w:szCs w:val="13"/>
              </w:rPr>
              <w:t xml:space="preserve">(서명 또는 인)</w:t>
            </w:r>
          </w:p>
        </w:tc>
      </w:tr>
    </w:tbl>
    <w:p>
      <w:pPr>
        <w:spacing w:after="0" w:before="0" w:line="120" w:lineRule="exact"/>
      </w:pPr>
    </w:p>
    <w:sectPr>
      <w:headerReference w:type="default" r:id="rId7"/>
      <w:footerReference w:type="default" r:id="rId8"/>
      <w:pgSz w:w="11906" w:h="16838" w:orient="portrait"/>
      <w:pgMar w:top="851" w:right="964" w:bottom="1701" w:left="964" w:header="340" w:footer="794" w:gutter="0"/>
      <w:pgBorders w:display="allPages" w:offsetFrom="page" w:zOrder="back">
        <w:top w:val="single" w:color="1B3A5C" w:sz="18" w:space="27"/>
        <w:left w:val="single" w:color="1B3A5C" w:sz="18" w:space="27"/>
        <w:bottom w:val="single" w:color="1B3A5C" w:sz="18" w:space="27"/>
        <w:right w:val="single" w:color="1B3A5C" w:sz="18" w:space="27"/>
      </w:pgBorders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dxa" w:w="9978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2600"/>
      <w:gridCol w:w="2400"/>
      <w:gridCol w:w="4978"/>
    </w:tblGrid>
    <w:tr>
      <w:trPr>
        <w:trHeight w:val="430" w:hRule="exact"/>
      </w:trPr>
      <w:tc>
        <w:tcPr>
          <w:tcW w:type="dxa" w:w="26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20"/>
            <w:left w:type="dxa" w:w="90"/>
            <w:bottom w:type="dxa" w:w="20"/>
            <w:right w:type="dxa" w:w="70"/>
          </w:tcMar>
          <w:vAlign w:val="center"/>
        </w:tcPr>
        <w:p>
          <w:pPr>
            <w:spacing w:after="0" w:before="0" w:line="28" w:lineRule="exact"/>
          </w:pPr>
          <w:r>
            <w:rPr>
              <w:rFonts w:ascii="Malgun Gothic" w:eastAsia="Malgun Gothic" w:hAnsi="Malgun Gothic"/>
              <w:b w:val="false"/>
              <w:bCs w:val="false"/>
              <w:snapToGrid w:val="false"/>
              <w:color w:val="333333"/>
              <w:sz w:val="2"/>
              <w:szCs w:val="2"/>
            </w:rPr>
            <w:t xml:space="preserve"/>
          </w:r>
        </w:p>
      </w:tc>
      <w:tc>
        <w:tcPr>
          <w:tcW w:type="dxa" w:w="24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0"/>
            <w:left w:type="dxa" w:w="0"/>
            <w:bottom w:type="dxa" w:w="0"/>
            <w:right w:type="dxa" w:w="100"/>
          </w:tcMar>
          <w:vAlign w:val="center"/>
        </w:tcPr>
        <w:p>
          <w:pPr>
            <w:spacing w:after="0" w:before="0" w:line="400" w:lineRule="exact"/>
          </w:pPr>
          <w:r>
            <w:drawing>
              <wp:inline distT="0" distB="0" distL="0" distR="0">
                <wp:extent cx="1162050" cy="228600"/>
                <wp:effectExtent t="0" r="0" b="0" l="0"/>
                <wp:docPr id="1" name="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0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62050" cy="2286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4978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0"/>
            <w:left w:type="dxa" w:w="0"/>
            <w:bottom w:type="dxa" w:w="0"/>
            <w:right w:type="dxa" w:w="0"/>
          </w:tcMar>
          <w:vAlign w:val="center"/>
        </w:tcPr>
        <w:p>
          <w:pPr>
            <w:spacing w:after="0" w:before="0" w:line="196" w:lineRule="exact"/>
          </w:pPr>
          <w:r>
            <w:rPr>
              <w:rFonts w:ascii="Malgun Gothic" w:eastAsia="Malgun Gothic" w:hAnsi="Malgun Gothic"/>
              <w:b w:val="false"/>
              <w:bCs w:val="false"/>
              <w:snapToGrid w:val="false"/>
              <w:color w:val="333333"/>
              <w:sz w:val="14"/>
              <w:szCs w:val="14"/>
            </w:rPr>
            <w:t xml:space="preserve">* 본 병원은 한국동물병원협회(KAHA) 회원병원입니다.</w:t>
          </w:r>
        </w:p>
        <w:p>
          <w:pPr>
            <w:spacing w:after="0" w:before="0" w:line="196" w:lineRule="exact"/>
          </w:pPr>
          <w:r>
            <w:rPr>
              <w:rFonts w:ascii="Malgun Gothic" w:eastAsia="Malgun Gothic" w:hAnsi="Malgun Gothic"/>
              <w:b w:val="false"/>
              <w:bCs w:val="false"/>
              <w:snapToGrid w:val="false"/>
              <w:color w:val="333333"/>
              <w:sz w:val="14"/>
              <w:szCs w:val="14"/>
            </w:rPr>
            <w:t xml:space="preserve">● Korean Animal Hospital Association (KAHA)</w:t>
          </w:r>
        </w:p>
      </w:tc>
    </w:tr>
  </w:tbl>
  <w:p>
    <w:pPr>
      <w:spacing w:after="0" w:before="0" w:line="20" w:lineRule="exact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 w:before="0" w:line="20" w:lineRule="exact"/>
    </w:pPr>
    <w:r>
      <w:drawing>
        <wp:anchor distT="0" distB="0" distL="0" distR="0" simplePos="0" allowOverlap="1" behindDoc="1" locked="0" layoutInCell="1" relativeHeight="3181350">
          <wp:simplePos x="0" y="0"/>
          <wp:positionH relativeFrom="page">
            <wp:posOffset>1330000</wp:posOffset>
          </wp:positionH>
          <wp:positionV relativeFrom="page">
            <wp:posOffset>2540000</wp:posOffset>
          </wp:positionV>
          <wp:extent cx="3181350" cy="3181350"/>
          <wp:effectExtent t="0" r="0" b="0" l="0"/>
          <wp:wrapNone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181350" cy="31813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eastAsia="Malgun Gothic" w:hAnsi="Malgun Gothic"/>
        <w:color w:val="333333"/>
        <w:sz w:val="17"/>
        <w:szCs w:val="17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a8b32ad6c92508a48ef124ddbb7903e428f50197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><Relationship Id="rId0" Type="http://schemas.openxmlformats.org/officeDocument/2006/relationships/image" Target="media/d4e16a7fcee7d56e0bf22c1b9b1fc23bf7279317.png"/></Relationships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d457837526ee2d4da8f01a327c406c611f34357c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2026-10-20T08:09:15.710Z</dcterms:created>
  <dcterms:modified xsi:type="dcterms:W3CDTF">2026-10-20T08:09:15.710Z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