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9128"/>
      </w:tblGrid>
      <w:tr>
        <w:trPr>
          <w:trHeight w:val="800" w:hRule="exact"/>
        </w:trPr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  <w:vAlign w:val="center"/>
          </w:tcPr>
          <w:p>
            <w:pPr>
              <w:spacing w:after="0" w:before="0" w:line="800" w:lineRule="exact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56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1B3A5C"/>
                <w:sz w:val="40"/>
                <w:szCs w:val="40"/>
              </w:rPr>
              <w:t xml:space="preserve">비강 내시경 및 생검 동의서</w:t>
            </w:r>
          </w:p>
        </w:tc>
      </w:tr>
    </w:tbl>
    <w:p>
      <w:pPr>
        <w:spacing w:after="0" w:before="100" w:line="240" w:lineRule="exact"/>
      </w:pPr>
      <w:r>
        <w:rPr>
          <w:rFonts w:ascii="Malgun Gothic" w:eastAsia="Malgun Gothic" w:hAnsi="Malgun Gothic"/>
          <w:b w:val="false"/>
          <w:bCs w:val="false"/>
          <w:snapToGrid w:val="false"/>
          <w:color w:val="333333"/>
          <w:sz w:val="16"/>
          <w:szCs w:val="16"/>
        </w:rPr>
        <w:t xml:space="preserve">본 동의서는 「수의사법」 제13조의2 및 같은 법 시행규칙 제13조의2에 따라 작성되었습니다.</w:t>
      </w:r>
    </w:p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4"/>
        <w:gridCol w:w="1701"/>
        <w:gridCol w:w="2551"/>
        <w:gridCol w:w="1701"/>
        <w:gridCol w:w="2551"/>
      </w:tblGrid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연락처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주소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반려동물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이름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종 / 품종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성별 / 중성화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□ 암  □ 수       □ 중성화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연령 / 체중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특이사항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동물병원명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 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면허번호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1"/>
        <w:gridCol w:w="3588"/>
        <w:gridCol w:w="80"/>
        <w:gridCol w:w="1361"/>
        <w:gridCol w:w="3588"/>
      </w:tblGrid>
      <w:tr>
        <w:trPr>
          <w:trHeight w:val="624" w:hRule="exact"/>
        </w:trPr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진 단 명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비강 질환 (Nasal Disease)</w:t>
            </w:r>
          </w:p>
        </w:tc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2"/>
                <w:szCs w:val="2"/>
              </w:rPr>
              <w:t xml:space="preserve"/>
            </w:r>
          </w:p>
        </w:tc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시행 방법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비강 내시경 및 생검 (Rhinoscopy)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4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질환에 대한 설명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코피, 재채기, 한쪽 코막힘이 이어질 때 코 안을 직접 보고 조직을 떼어 검사합니다.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종양, 곰팡이 감염, 이물, 만성 비염이 감별 대상입니다.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겉으로는 구별되지 않아 조직검사로만 확진되는 경우가 많습니다.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1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진료의 필요성 ·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방법 및 내용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코 출혈·재채기의 원인을 확인해야 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비강을 관찰하고 조직을 채취합니다.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전형적으로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발생이 예상되는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후유증 또는 부작용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출혈이 지속될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재채기와 콧물이 며칠간 심해질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검체가 부족하여 재검사가 필요할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조직검사로도 원인이 확정되지 않을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곰팡이 감염이면 국소 약물 처치를 여러 차례 해야 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1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진료 전후에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보호자의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준수 및 숙지 사항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출혈이 멎지 않으면 즉시 연락해야 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결과 확인을 위해 재내원해야 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54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8"/>
      </w:tblGrid>
      <w:tr>
        <w:trPr>
          <w:trHeight w:val="964" w:hRule="exact"/>
        </w:trPr>
        <w:tc>
          <w:tcPr>
            <w:tcW w:type="dxa" w:w="99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「수의사법」 제13조의2 및 같은 법 시행규칙 제13조의2에 따라 위와 같이 수의사로부터 진료의 필요성 · 방법 · 내용과 전형적으로 예상되는 후유증 및 부작용에 관한 설명을 충분히 듣고 이해하였습니다. 이에 위 진료의 시행에 동의하며, 시행 과정에서 필요한 수의학적 판단과 처리를 담당 수의사에게 위임합니다.</w:t>
            </w:r>
          </w:p>
        </w:tc>
      </w:tr>
    </w:tbl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0"/>
        <w:gridCol w:w="1100"/>
        <w:gridCol w:w="1049"/>
        <w:gridCol w:w="1250"/>
        <w:gridCol w:w="1100"/>
        <w:gridCol w:w="1049"/>
        <w:gridCol w:w="1250"/>
      </w:tblGrid>
      <w:tr>
        <w:trPr>
          <w:trHeight w:val="570" w:hRule="exact"/>
        </w:trPr>
        <w:tc>
          <w:tcPr>
            <w:tcW w:type="dxa" w:w="3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31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620"/>
              <w:gridCol w:w="300"/>
              <w:gridCol w:w="620"/>
              <w:gridCol w:w="300"/>
              <w:gridCol w:w="620"/>
              <w:gridCol w:w="300"/>
              <w:gridCol w:w="280"/>
            </w:tblGrid>
            <w:tr>
              <w:trPr>
                <w:trHeight w:val="470" w:hRule="exact"/>
              </w:trP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20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년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월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일</w:t>
                  </w:r>
                </w:p>
              </w:tc>
              <w:tc>
                <w:tcPr>
                  <w:tcW w:type="dxa" w:w="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설명 수의사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</w:tr>
    </w:tbl>
    <w:p>
      <w:pPr>
        <w:spacing w:after="0" w:before="0" w:line="120" w:lineRule="exact"/>
      </w:pPr>
    </w:p>
    <w:sectPr>
      <w:headerReference w:type="default" r:id="rId7"/>
      <w:footerReference w:type="default" r:id="rId8"/>
      <w:pgSz w:w="11906" w:h="16838" w:orient="portrait"/>
      <w:pgMar w:top="851" w:right="964" w:bottom="1701" w:left="964" w:header="340" w:footer="794" w:gutter="0"/>
      <w:pgBorders w:display="allPages" w:offsetFrom="page" w:zOrder="back">
        <w:top w:val="single" w:color="1B3A5C" w:sz="18" w:space="27"/>
        <w:left w:val="single" w:color="1B3A5C" w:sz="18" w:space="27"/>
        <w:bottom w:val="single" w:color="1B3A5C" w:sz="18" w:space="27"/>
        <w:right w:val="single" w:color="1B3A5C" w:sz="18" w:space="27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97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600"/>
      <w:gridCol w:w="2400"/>
      <w:gridCol w:w="4978"/>
    </w:tblGrid>
    <w:tr>
      <w:trPr>
        <w:trHeight w:val="430" w:hRule="exact"/>
      </w:trPr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20"/>
            <w:left w:type="dxa" w:w="90"/>
            <w:bottom w:type="dxa" w:w="20"/>
            <w:right w:type="dxa" w:w="70"/>
          </w:tcMar>
          <w:vAlign w:val="center"/>
        </w:tcPr>
        <w:p>
          <w:pPr>
            <w:spacing w:after="0" w:before="0" w:line="28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2"/>
              <w:szCs w:val="2"/>
            </w:rPr>
            <w:t xml:space="preserve"/>
          </w:r>
        </w:p>
      </w:tc>
      <w:tc>
        <w:tcPr>
          <w:tcW w:type="dxa" w:w="2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100"/>
          </w:tcMar>
          <w:vAlign w:val="center"/>
        </w:tcPr>
        <w:p>
          <w:pPr>
            <w:spacing w:after="0" w:before="0" w:line="400" w:lineRule="exact"/>
          </w:pPr>
          <w:r>
            <w:drawing>
              <wp:inline distT="0" distB="0" distL="0" distR="0">
                <wp:extent cx="1162050" cy="2286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2050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7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* 본 병원은 한국동물병원협회(KAHA) 회원병원입니다.</w:t>
          </w:r>
        </w:p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● Korean Animal Hospital Association (KAHA)</w:t>
          </w:r>
        </w:p>
      </w:tc>
    </w:tr>
  </w:tbl>
  <w:p>
    <w:pPr>
      <w:spacing w:after="0" w:before="0" w:line="2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0" w:lineRule="exact"/>
    </w:pPr>
    <w:r>
      <w:drawing>
        <wp:anchor distT="0" distB="0" distL="0" distR="0" simplePos="0" allowOverlap="1" behindDoc="1" locked="0" layoutInCell="1" relativeHeight="3181350">
          <wp:simplePos x="0" y="0"/>
          <wp:positionH relativeFrom="page">
            <wp:posOffset>1330000</wp:posOffset>
          </wp:positionH>
          <wp:positionV relativeFrom="page">
            <wp:posOffset>2540000</wp:posOffset>
          </wp:positionV>
          <wp:extent cx="3181350" cy="31813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81350" cy="3181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333333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8b32ad6c92508a48ef124ddbb7903e428f5019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d4e16a7fcee7d56e0bf22c1b9b1fc23bf7279317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457837526ee2d4da8f01a327c406c611f34357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2026-10-20T08:09:16.142Z</dcterms:created>
  <dcterms:modified xsi:type="dcterms:W3CDTF">2026-10-20T08:09:16.142Z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