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9128"/>
      </w:tblGrid>
      <w:tr>
        <w:trPr>
          <w:trHeight w:val="800" w:hRule="exact"/>
        </w:trPr>
        <w:tc>
          <w:tcPr>
            <w:tcW w:type="dxa" w:w="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  <w:vAlign w:val="center"/>
          </w:tcPr>
          <w:p>
            <w:pPr>
              <w:spacing w:after="0" w:before="0" w:line="800" w:lineRule="exact"/>
            </w:pPr>
            <w:r>
              <w:drawing>
                <wp:inline distT="0" distB="0" distL="0" distR="0">
                  <wp:extent cx="438150" cy="438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8150" cy="438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12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560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1B3A5C"/>
                <w:sz w:val="40"/>
                <w:szCs w:val="40"/>
              </w:rPr>
              <w:t xml:space="preserve">창상 봉합술 동의서</w:t>
            </w:r>
          </w:p>
        </w:tc>
      </w:tr>
    </w:tbl>
    <w:p>
      <w:pPr>
        <w:spacing w:after="0" w:before="100" w:line="240" w:lineRule="exact"/>
      </w:pPr>
      <w:r>
        <w:rPr>
          <w:rFonts w:ascii="Malgun Gothic" w:eastAsia="Malgun Gothic" w:hAnsi="Malgun Gothic"/>
          <w:b w:val="false"/>
          <w:bCs w:val="false"/>
          <w:snapToGrid w:val="false"/>
          <w:color w:val="333333"/>
          <w:sz w:val="16"/>
          <w:szCs w:val="16"/>
        </w:rPr>
        <w:t xml:space="preserve">본 동의서는 「수의사법」 제13조의2 및 같은 법 시행규칙 제13조의2에 따라 작성되었습니다.</w:t>
      </w:r>
    </w:p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4"/>
        <w:gridCol w:w="1701"/>
        <w:gridCol w:w="2551"/>
        <w:gridCol w:w="1701"/>
        <w:gridCol w:w="2551"/>
      </w:tblGrid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연락처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주소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반려동물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이름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종 / 품종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성별 / 중성화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□ 암  □ 수       □ 중성화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연령 / 체중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특이사항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tcW w:type="dxa" w:w="1474"/>
            <w:vMerge w:val="restart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</w:t>
            </w: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동물병원명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수의사 성명</w:t>
            </w:r>
          </w:p>
        </w:tc>
        <w:tc>
          <w:tcPr>
            <w:tcW w:type="dxa" w:w="255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  <w:tr>
        <w:trPr>
          <w:trHeight w:val="484" w:hRule="exact"/>
        </w:trPr>
        <w:tc>
          <w:tcPr>
            <w:vMerge w:val="continue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</w:tcPr>
          <w:p/>
        </w:tc>
        <w:tc>
          <w:tcPr>
            <w:tcW w:type="dxa" w:w="170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면허번호</w:t>
            </w:r>
          </w:p>
        </w:tc>
        <w:tc>
          <w:tcPr>
            <w:tcW w:type="dxa" w:w="6803"/>
            <w:gridSpan w:val="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40" w:lineRule="exact"/>
            </w:pP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61"/>
        <w:gridCol w:w="3588"/>
        <w:gridCol w:w="80"/>
        <w:gridCol w:w="1361"/>
        <w:gridCol w:w="3588"/>
      </w:tblGrid>
      <w:tr>
        <w:trPr>
          <w:trHeight w:val="624" w:hRule="exact"/>
        </w:trPr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진 단 명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열상 · 교상 (Laceration / Bite Wound)</w:t>
            </w:r>
          </w:p>
        </w:tc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2"/>
                <w:szCs w:val="2"/>
              </w:rPr>
              <w:t xml:space="preserve"/>
            </w:r>
          </w:p>
        </w:tc>
        <w:tc>
          <w:tcPr>
            <w:tcW w:type="dxa" w:w="136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6"/>
                <w:szCs w:val="16"/>
              </w:rPr>
              <w:t xml:space="preserve">시행 방법</w:t>
            </w:r>
          </w:p>
        </w:tc>
        <w:tc>
          <w:tcPr>
            <w:tcW w:type="dxa" w:w="358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20"/>
              <w:left w:type="dxa" w:w="90"/>
              <w:bottom w:type="dxa" w:w="20"/>
              <w:right w:type="dxa" w:w="70"/>
            </w:tcMar>
            <w:vAlign w:val="center"/>
          </w:tcPr>
          <w:p>
            <w:pPr>
              <w:spacing w:after="0" w:before="0" w:line="224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창상 봉합술 (Wound Repair)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4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질환에 대한 설명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찢어지거나 물린 상처를 씻고 정리해 닫아 주는 처치입니다.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물린 상처는 겉보다 속의 손상이 훨씬 넓은 경우가 많습니다.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오염이 심하면 바로 닫지 않고 며칠 관리한 뒤 닫기도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진료의 필요성 ·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방법 및 내용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피부가 찢어져 봉합이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상처를 세척하고 봉합합니다.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90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전형적으로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발생이 예상되는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후유증 또는 부작용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감염으로 봉합 부위가 벌어질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괴사가 진행되면 재수술이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흉터가 남을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감염이 생기면 봉합을 풀고 열어 두어야 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물린 상처는 속의 손상이 넓어 배액관이 필요할 수 있습니다.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136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8050"/>
      </w:tblGrid>
      <w:tr>
        <w:trPr>
          <w:trHeight w:val="1150" w:hRule="exact"/>
        </w:trPr>
        <w:tc>
          <w:tcPr>
            <w:tcW w:type="dxa" w:w="192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FEFEF" w:val="clear"/>
            <w:tcMar>
              <w:top w:type="dxa" w:w="20"/>
              <w:left w:type="dxa" w:w="40"/>
              <w:bottom w:type="dxa" w:w="20"/>
              <w:right w:type="dxa" w:w="40"/>
            </w:tcMar>
            <w:vAlign w:val="center"/>
          </w:tcPr>
          <w:p>
            <w:pPr>
              <w:spacing w:after="0" w:before="0" w:line="238" w:lineRule="exact"/>
              <w:jc w:val="center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진료 전후에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보호자의</w:t>
            </w:r>
            <w:r>
              <w:br/>
            </w: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준수 및 숙지 사항</w:t>
            </w:r>
          </w:p>
        </w:tc>
        <w:tc>
          <w:tcPr>
            <w:tcW w:type="dxa" w:w="80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40"/>
              <w:left w:type="dxa" w:w="140"/>
              <w:bottom w:type="dxa" w:w="40"/>
              <w:right w:type="dxa" w:w="100"/>
            </w:tcMar>
            <w:vAlign w:val="center"/>
          </w:tcPr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넥카라 착용과 소독이 필요합니다.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부기·삼출이 심해지면 내원해야 합니다.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  <w:p>
            <w:pPr>
              <w:spacing w:after="0" w:before="0" w:line="250" w:lineRule="exact"/>
              <w:ind w:left="176" w:hanging="176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·  </w:t>
            </w:r>
          </w:p>
        </w:tc>
      </w:tr>
    </w:tbl>
    <w:p>
      <w:pPr>
        <w:spacing w:after="0" w:before="0" w:line="54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78"/>
      </w:tblGrid>
      <w:tr>
        <w:trPr>
          <w:trHeight w:val="964" w:hRule="exact"/>
        </w:trPr>
        <w:tc>
          <w:tcPr>
            <w:tcW w:type="dxa" w:w="99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 w:line="224" w:lineRule="exact"/>
              <w:jc w:val="center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6"/>
                <w:szCs w:val="16"/>
              </w:rPr>
              <w:t xml:space="preserve">「수의사법」 제13조의2 및 같은 법 시행규칙 제13조의2에 따라 위와 같이 수의사로부터 진료의 필요성 · 방법 · 내용과 전형적으로 예상되는 후유증 및 부작용에 관한 설명을 충분히 듣고 이해하였습니다. 이에 위 진료의 시행에 동의하며, 시행 과정에서 필요한 수의학적 판단과 처리를 담당 수의사에게 위임합니다.</w:t>
            </w:r>
          </w:p>
        </w:tc>
      </w:tr>
    </w:tbl>
    <w:p>
      <w:pPr>
        <w:spacing w:after="0" w:before="0" w:line="150" w:lineRule="exact"/>
      </w:pPr>
    </w:p>
    <w:tbl>
      <w:tblPr>
        <w:tblW w:type="dxa" w:w="997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80"/>
        <w:gridCol w:w="1100"/>
        <w:gridCol w:w="1049"/>
        <w:gridCol w:w="1250"/>
        <w:gridCol w:w="1100"/>
        <w:gridCol w:w="1049"/>
        <w:gridCol w:w="1250"/>
      </w:tblGrid>
      <w:tr>
        <w:trPr>
          <w:trHeight w:val="570" w:hRule="exact"/>
        </w:trPr>
        <w:tc>
          <w:tcPr>
            <w:tcW w:type="dxa" w:w="3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tbl>
            <w:tblPr>
              <w:tblW w:type="dxa" w:w="318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620"/>
              <w:gridCol w:w="300"/>
              <w:gridCol w:w="620"/>
              <w:gridCol w:w="300"/>
              <w:gridCol w:w="620"/>
              <w:gridCol w:w="300"/>
              <w:gridCol w:w="280"/>
            </w:tblGrid>
            <w:tr>
              <w:trPr>
                <w:trHeight w:val="470" w:hRule="exact"/>
              </w:trPr>
              <w:tc>
                <w:tcPr>
                  <w:tcW w:type="dxa" w:w="4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20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년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월</w:t>
                  </w:r>
                </w:p>
              </w:tc>
              <w:tc>
                <w:tcPr>
                  <w:tcW w:type="dxa" w:w="620"/>
                  <w:tcBorders>
                    <w:top w:val="none" w:color="FFFFFF" w:sz="0"/>
                    <w:left w:val="none" w:color="FFFFFF" w:sz="0"/>
                    <w:bottom w:val="single" w:color="9A9A9A" w:sz="4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  <w:tc>
                <w:tcPr>
                  <w:tcW w:type="dxa" w:w="3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>일</w:t>
                  </w:r>
                </w:p>
              </w:tc>
              <w:tc>
                <w:tcPr>
                  <w:tcW w:type="dxa" w:w="28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0"/>
                    <w:left w:type="dxa" w:w="20"/>
                    <w:bottom w:type="dxa" w:w="0"/>
                    <w:right w:type="dxa" w:w="20"/>
                  </w:tcMar>
                  <w:vAlign w:val="center"/>
                </w:tcPr>
                <w:p>
                  <w:pPr>
                    <w:spacing w:after="0" w:before="0" w:line="238" w:lineRule="exact"/>
                  </w:pPr>
                  <w:r>
                    <w:rPr>
                      <w:rFonts w:ascii="Malgun Gothic" w:eastAsia="Malgun Gothic" w:hAnsi="Malgun Gothic"/>
                      <w:b w:val="false"/>
                      <w:bCs w:val="false"/>
                      <w:snapToGrid w:val="false"/>
                      <w:color w:val="333333"/>
                      <w:sz w:val="17"/>
                      <w:szCs w:val="17"/>
                    </w:rPr>
                    <w:t xml:space="preserve"/>
                  </w:r>
                </w:p>
              </w:tc>
            </w:tr>
          </w:tbl>
          <w:p>
            <w:pPr>
              <w:spacing w:after="0" w:before="0" w:line="20" w:lineRule="exact"/>
            </w:pP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보호자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  <w:tc>
          <w:tcPr>
            <w:tcW w:type="dxa" w:w="11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60"/>
              <w:bottom w:type="dxa" w:w="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/>
                <w:bCs/>
                <w:snapToGrid w:val="false"/>
                <w:color w:val="333333"/>
                <w:sz w:val="17"/>
                <w:szCs w:val="17"/>
              </w:rPr>
              <w:t xml:space="preserve">설명 수의사</w:t>
            </w:r>
          </w:p>
        </w:tc>
        <w:tc>
          <w:tcPr>
            <w:tcW w:type="dxa" w:w="1049"/>
            <w:tcBorders>
              <w:top w:val="dotted" w:color="9A9A9A" w:sz="4"/>
              <w:left w:val="dotted" w:color="9A9A9A" w:sz="4"/>
              <w:bottom w:val="dotted" w:color="9A9A9A" w:sz="4"/>
              <w:right w:val="dotted" w:color="9A9A9A" w:sz="4"/>
            </w:tcBorders>
            <w:tcMar>
              <w:top w:type="dxa" w:w="20"/>
              <w:left w:type="dxa" w:w="60"/>
              <w:bottom w:type="dxa" w:w="20"/>
              <w:right w:type="dxa" w:w="60"/>
            </w:tcMar>
            <w:vAlign w:val="center"/>
          </w:tcPr>
          <w:p>
            <w:pPr>
              <w:spacing w:after="0" w:before="0" w:line="238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333333"/>
                <w:sz w:val="17"/>
                <w:szCs w:val="17"/>
              </w:rPr>
              <w:t xml:space="preserve"/>
            </w:r>
          </w:p>
        </w:tc>
        <w:tc>
          <w:tcPr>
            <w:tcW w:type="dxa" w:w="12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40"/>
              <w:bottom w:type="dxa" w:w="0"/>
              <w:right w:type="dxa" w:w="0"/>
            </w:tcMar>
            <w:vAlign w:val="center"/>
          </w:tcPr>
          <w:p>
            <w:pPr>
              <w:spacing w:after="0" w:before="0" w:line="182" w:lineRule="exact"/>
            </w:pPr>
            <w:r>
              <w:rPr>
                <w:rFonts w:ascii="Malgun Gothic" w:eastAsia="Malgun Gothic" w:hAnsi="Malgun Gothic"/>
                <w:b w:val="false"/>
                <w:bCs w:val="false"/>
                <w:snapToGrid w:val="false"/>
                <w:color w:val="767676"/>
                <w:sz w:val="13"/>
                <w:szCs w:val="13"/>
              </w:rPr>
              <w:t xml:space="preserve">(서명 또는 인)</w:t>
            </w:r>
          </w:p>
        </w:tc>
      </w:tr>
    </w:tbl>
    <w:p>
      <w:pPr>
        <w:spacing w:after="0" w:before="0" w:line="120" w:lineRule="exact"/>
      </w:pPr>
    </w:p>
    <w:sectPr>
      <w:headerReference w:type="default" r:id="rId7"/>
      <w:footerReference w:type="default" r:id="rId8"/>
      <w:pgSz w:w="11906" w:h="16838" w:orient="portrait"/>
      <w:pgMar w:top="851" w:right="964" w:bottom="1701" w:left="964" w:header="340" w:footer="794" w:gutter="0"/>
      <w:pgBorders w:display="allPages" w:offsetFrom="page" w:zOrder="back">
        <w:top w:val="single" w:color="1B3A5C" w:sz="18" w:space="27"/>
        <w:left w:val="single" w:color="1B3A5C" w:sz="18" w:space="27"/>
        <w:bottom w:val="single" w:color="1B3A5C" w:sz="18" w:space="27"/>
        <w:right w:val="single" w:color="1B3A5C" w:sz="18" w:space="27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97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600"/>
      <w:gridCol w:w="2400"/>
      <w:gridCol w:w="4978"/>
    </w:tblGrid>
    <w:tr>
      <w:trPr>
        <w:trHeight w:val="430" w:hRule="exact"/>
      </w:trPr>
      <w:tc>
        <w:tcPr>
          <w:tcW w:type="dxa" w:w="26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20"/>
            <w:left w:type="dxa" w:w="90"/>
            <w:bottom w:type="dxa" w:w="20"/>
            <w:right w:type="dxa" w:w="70"/>
          </w:tcMar>
          <w:vAlign w:val="center"/>
        </w:tcPr>
        <w:p>
          <w:pPr>
            <w:spacing w:after="0" w:before="0" w:line="28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2"/>
              <w:szCs w:val="2"/>
            </w:rPr>
            <w:t xml:space="preserve"/>
          </w:r>
        </w:p>
      </w:tc>
      <w:tc>
        <w:tcPr>
          <w:tcW w:type="dxa" w:w="24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100"/>
          </w:tcMar>
          <w:vAlign w:val="center"/>
        </w:tcPr>
        <w:p>
          <w:pPr>
            <w:spacing w:after="0" w:before="0" w:line="400" w:lineRule="exact"/>
          </w:pPr>
          <w:r>
            <w:drawing>
              <wp:inline distT="0" distB="0" distL="0" distR="0">
                <wp:extent cx="1162050" cy="2286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62050" cy="228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978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* 본 병원은 한국동물병원협회(KAHA) 회원병원입니다.</w:t>
          </w:r>
        </w:p>
        <w:p>
          <w:pPr>
            <w:spacing w:after="0" w:before="0" w:line="196" w:lineRule="exact"/>
          </w:pPr>
          <w:r>
            <w:rPr>
              <w:rFonts w:ascii="Malgun Gothic" w:eastAsia="Malgun Gothic" w:hAnsi="Malgun Gothic"/>
              <w:b w:val="false"/>
              <w:bCs w:val="false"/>
              <w:snapToGrid w:val="false"/>
              <w:color w:val="333333"/>
              <w:sz w:val="14"/>
              <w:szCs w:val="14"/>
            </w:rPr>
            <w:t xml:space="preserve">● Korean Animal Hospital Association (KAHA)</w:t>
          </w:r>
        </w:p>
      </w:tc>
    </w:tr>
  </w:tbl>
  <w:p>
    <w:pPr>
      <w:spacing w:after="0" w:before="0" w:line="20" w:lineRule="exact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20" w:lineRule="exact"/>
    </w:pPr>
    <w:r>
      <w:drawing>
        <wp:anchor distT="0" distB="0" distL="0" distR="0" simplePos="0" allowOverlap="1" behindDoc="1" locked="0" layoutInCell="1" relativeHeight="3181350">
          <wp:simplePos x="0" y="0"/>
          <wp:positionH relativeFrom="page">
            <wp:posOffset>1330000</wp:posOffset>
          </wp:positionH>
          <wp:positionV relativeFrom="page">
            <wp:posOffset>2540000</wp:posOffset>
          </wp:positionV>
          <wp:extent cx="3181350" cy="3181350"/>
          <wp:effectExtent t="0" r="0" b="0" l="0"/>
          <wp:wrapNone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181350" cy="31813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eastAsia="Malgun Gothic" w:hAnsi="Malgun Gothic"/>
        <w:color w:val="333333"/>
        <w:sz w:val="17"/>
        <w:szCs w:val="17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8b32ad6c92508a48ef124ddbb7903e428f5019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><Relationship Id="rId0" Type="http://schemas.openxmlformats.org/officeDocument/2006/relationships/image" Target="media/d4e16a7fcee7d56e0bf22c1b9b1fc23bf7279317.png"/></Relationships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457837526ee2d4da8f01a327c406c611f34357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2026-10-20T08:09:16.533Z</dcterms:created>
  <dcterms:modified xsi:type="dcterms:W3CDTF">2026-10-20T08:09:16.533Z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