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5"/>
        <w:gridCol w:w="3515"/>
      </w:tblGrid>
      <w:tr>
        <w:trPr>
          <w:trHeight w:val="935" w:hRule="exact"/>
        </w:trPr>
        <w:tc>
          <w:tcPr>
            <w:tcW w:type="dxa" w:w="65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23A68" w:val="clear"/>
            <w:tcMar>
              <w:top w:type="dxa" w:w="60"/>
              <w:left w:type="dxa" w:w="260"/>
              <w:bottom w:type="dxa" w:w="60"/>
              <w:right w:type="dxa" w:w="16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32"/>
                <w:szCs w:val="32"/>
              </w:rPr>
              <w:t xml:space="preserve">수술등중대진료(마취) 동의서</w:t>
            </w:r>
          </w:p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C8DCEF"/>
                <w:sz w:val="14"/>
                <w:szCs w:val="14"/>
              </w:rPr>
              <w:t xml:space="preserve">수의사법 제13조의2 및 같은 법 시행규칙 제13조의3에 따른 설명·서면동의 — 전신마취를 동반하는 내부장기·뼈·관절 수술 및 수혈</w:t>
            </w:r>
          </w:p>
        </w:tc>
        <w:tc>
          <w:tcPr>
            <w:tcW w:type="dxa" w:w="35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760" w:lineRule="exact"/>
              <w:jc w:val="center"/>
            </w:pPr>
            <w:r>
              <w:drawing>
                <wp:inline distT="0" distB="0" distL="0" distR="0">
                  <wp:extent cx="1676400" cy="333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120"/>
              <w:bottom w:type="dxa" w:w="20"/>
              <w:right w:type="dxa" w:w="260"/>
            </w:tcMar>
            <w:vAlign w:val="center"/>
          </w:tcPr>
          <w:p>
            <w:pPr>
              <w:spacing w:after="0" w:before="0" w:line="196" w:lineRule="exact"/>
              <w:jc w:val="right"/>
            </w:pPr>
            <w:r>
              <w:rPr>
                <w:rFonts w:ascii="Malgun Gothic" w:eastAsia="Malgun Gothic" w:hAnsi="Malgun Gothic"/>
                <w:b w:val="false"/>
                <w:bCs w:val="false"/>
                <w:color w:val="FFFFFF"/>
                <w:sz w:val="14"/>
                <w:szCs w:val="14"/>
              </w:rPr>
              <w:t xml:space="preserve">서식번호 KAHA-F-2601 · 시행일자 2026. 8. · 작성 후 1년 보존</w:t>
            </w:r>
          </w:p>
        </w:tc>
      </w:tr>
    </w:tbl>
    <w:p>
      <w:pPr>
        <w:spacing w:after="0" w:before="0" w:line="8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361"/>
        <w:gridCol w:w="3117"/>
        <w:gridCol w:w="1361"/>
        <w:gridCol w:w="3117"/>
      </w:tblGrid>
      <w:tr>
        <w:trPr>
          <w:trHeight w:val="370" w:hRule="exact"/>
        </w:trPr>
        <w:tc>
          <w:tcPr>
            <w:tcW w:type="dxa" w:w="1134"/>
            <w:vMerge w:val="restart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9"/>
                <w:szCs w:val="19"/>
              </w:rPr>
              <w:t xml:space="preserve">보호자</w:t>
            </w: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성 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생년월일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7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연 락 처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7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주 소</w:t>
            </w:r>
          </w:p>
        </w:tc>
        <w:tc>
          <w:tcPr>
            <w:tcW w:type="dxa" w:w="7595"/>
            <w:gridSpan w:val="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70" w:hRule="exact"/>
        </w:trPr>
        <w:tc>
          <w:tcPr>
            <w:tcW w:type="dxa" w:w="1134"/>
            <w:vMerge w:val="restart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9"/>
                <w:szCs w:val="19"/>
              </w:rPr>
              <w:t xml:space="preserve">반려동물</w:t>
            </w: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이 름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7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7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70" w:hRule="exact"/>
        </w:trPr>
        <w:tc>
          <w:tcPr>
            <w:tcW w:type="dxa" w:w="1134"/>
            <w:vMerge w:val="restart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9"/>
                <w:szCs w:val="19"/>
              </w:rPr>
              <w:t xml:space="preserve">수의사</w:t>
            </w: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7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성 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보호자 관계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□ 소유자   □ 대리인</w:t>
            </w:r>
          </w:p>
        </w:tc>
      </w:tr>
    </w:tbl>
    <w:p>
      <w:pPr>
        <w:spacing w:after="0" w:before="0" w:line="8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90"/>
        <w:gridCol w:w="3800"/>
      </w:tblGrid>
      <w:tr>
        <w:trPr>
          <w:trHeight w:val="400" w:hRule="exac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9CCDE" w:sz="4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2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9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21"/>
                <w:szCs w:val="21"/>
              </w:rPr>
              <w:t xml:space="preserve">설명 및 동의 사항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9CCDE" w:sz="4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 w:line="6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"/>
        <w:gridCol w:w="9960"/>
      </w:tblGrid>
      <w:tr>
        <w:trPr>
          <w:trHeight w:val="340" w:hRule="exact"/>
        </w:trPr>
        <w:tc>
          <w:tcPr>
            <w:tcW w:type="dxa" w:w="1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9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A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9"/>
                <w:szCs w:val="19"/>
              </w:rPr>
              <w:t xml:space="preserve">수술등중대진료의 필요성, 방법 및 내용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45"/>
        <w:gridCol w:w="1475"/>
        <w:gridCol w:w="3570"/>
      </w:tblGrid>
      <w:tr>
        <w:trPr>
          <w:trHeight w:val="374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진단명 (추정 포함)</w:t>
            </w:r>
          </w:p>
        </w:tc>
        <w:tc>
          <w:tcPr>
            <w:tcW w:type="dxa" w:w="33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7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예정 일시</w:t>
            </w:r>
          </w:p>
        </w:tc>
        <w:tc>
          <w:tcPr>
            <w:tcW w:type="dxa" w:w="357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374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수술 / 처치명</w:t>
            </w:r>
          </w:p>
        </w:tc>
        <w:tc>
          <w:tcPr>
            <w:tcW w:type="dxa" w:w="33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7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마취 방식</w:t>
            </w:r>
          </w:p>
        </w:tc>
        <w:tc>
          <w:tcPr>
            <w:tcW w:type="dxa" w:w="357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390"/>
      </w:tblGrid>
      <w:tr>
        <w:trPr>
          <w:trHeight w:val="476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필요성 · 현재 상태</w:t>
            </w:r>
          </w:p>
        </w:tc>
        <w:tc>
          <w:tcPr>
            <w:tcW w:type="dxa" w:w="83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76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3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"/>
        <w:gridCol w:w="9960"/>
      </w:tblGrid>
      <w:tr>
        <w:trPr>
          <w:trHeight w:val="340" w:hRule="exact"/>
        </w:trPr>
        <w:tc>
          <w:tcPr>
            <w:tcW w:type="dxa" w:w="1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9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A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9"/>
                <w:szCs w:val="19"/>
              </w:rPr>
              <w:t xml:space="preserve">수술등중대진료에 따라 전형적으로 발생이 예상되는 후유증 또는 부작용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2522"/>
        <w:gridCol w:w="2522"/>
        <w:gridCol w:w="2524"/>
      </w:tblGrid>
      <w:tr>
        <w:trPr>
          <w:trHeight w:val="318" w:hRule="exact"/>
        </w:trPr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1) 저혈압 · 저체온 · 고체온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2) 약물 과민반응에 의한 쇼크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3) 순환부전에 의한 쇼크</w:t>
            </w:r>
          </w:p>
        </w:tc>
        <w:tc>
          <w:tcPr>
            <w:tcW w:type="dxa" w:w="25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4) 췌장염 · 신부전 및 폐수종</w:t>
            </w:r>
          </w:p>
        </w:tc>
      </w:tr>
      <w:tr>
        <w:trPr>
          <w:trHeight w:val="318" w:hRule="exact"/>
        </w:trPr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5) 기저질환 발현 및 현증 악화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6) 삽관에 의한 일시적 기침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7) 출혈 · 감염 · 봉합 부위 벌어짐</w:t>
            </w:r>
          </w:p>
        </w:tc>
        <w:tc>
          <w:tcPr>
            <w:tcW w:type="dxa" w:w="25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8) 드물게 심정지 및 사망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1021"/>
        <w:gridCol w:w="4590"/>
        <w:gridCol w:w="3742"/>
      </w:tblGrid>
      <w:tr>
        <w:trPr>
          <w:trHeight w:val="329" w:hRule="exact"/>
        </w:trPr>
        <w:tc>
          <w:tcPr>
            <w:tcW w:type="dxa" w:w="737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체크</w:t>
            </w:r>
          </w:p>
        </w:tc>
        <w:tc>
          <w:tcPr>
            <w:tcW w:type="dxa" w:w="1021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ASA 등급</w:t>
            </w:r>
          </w:p>
        </w:tc>
        <w:tc>
          <w:tcPr>
            <w:tcW w:type="dxa" w:w="4590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정 의</w:t>
            </w:r>
          </w:p>
        </w:tc>
        <w:tc>
          <w:tcPr>
            <w:tcW w:type="dxa" w:w="3742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마취 관련 사망 위험 (CEPSAF)</w:t>
            </w:r>
          </w:p>
        </w:tc>
      </w:tr>
      <w:tr>
        <w:trPr>
          <w:trHeight w:val="329" w:hRule="exact"/>
        </w:trPr>
        <w:tc>
          <w:tcPr>
            <w:tcW w:type="dxa" w:w="73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021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Ⅰ</w:t>
            </w:r>
          </w:p>
        </w:tc>
        <w:tc>
          <w:tcPr>
            <w:tcW w:type="dxa" w:w="459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정상적이고 건강한 개체</w:t>
            </w:r>
          </w:p>
        </w:tc>
        <w:tc>
          <w:tcPr>
            <w:tcW w:type="dxa" w:w="3742"/>
            <w:vMerge w:val="restart"/>
            <w:tcBorders>
              <w:top w:val="single" w:color="B9CCDE" w:sz="3"/>
              <w:left w:val="single" w:color="B9CCDE" w:sz="3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개 0.05 %　·　고양이 0.11 %</w:t>
            </w:r>
          </w:p>
          <w:p>
            <w:pPr>
              <w:spacing w:after="0" w:before="0" w:line="196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6B7683"/>
                <w:sz w:val="14"/>
                <w:szCs w:val="14"/>
              </w:rPr>
              <w:t xml:space="preserve">ASA Ⅰ–Ⅱ 건강 개체 기준</w:t>
            </w:r>
          </w:p>
        </w:tc>
      </w:tr>
      <w:tr>
        <w:trPr>
          <w:trHeight w:val="329" w:hRule="exact"/>
        </w:trPr>
        <w:tc>
          <w:tcPr>
            <w:tcW w:type="dxa" w:w="73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021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Ⅱ</w:t>
            </w:r>
          </w:p>
        </w:tc>
        <w:tc>
          <w:tcPr>
            <w:tcW w:type="dxa" w:w="459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활동을 제한하지 않는 가벼운 전신질환</w:t>
            </w:r>
          </w:p>
        </w:tc>
        <w:tc>
          <w:tcPr>
            <w:vMerge w:val="continue"/>
            <w:tcBorders>
              <w:top w:val="single" w:color="B9CCDE" w:sz="3"/>
              <w:left w:val="single" w:color="B9CCDE" w:sz="3"/>
              <w:bottom w:val="single" w:color="B9CCDE" w:sz="3"/>
              <w:right w:val="none" w:color="FFFFFF" w:sz="0"/>
            </w:tcBorders>
          </w:tcPr>
          <w:p/>
        </w:tc>
      </w:tr>
      <w:tr>
        <w:trPr>
          <w:trHeight w:val="329" w:hRule="exact"/>
        </w:trPr>
        <w:tc>
          <w:tcPr>
            <w:tcW w:type="dxa" w:w="73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021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Ⅲ</w:t>
            </w:r>
          </w:p>
        </w:tc>
        <w:tc>
          <w:tcPr>
            <w:tcW w:type="dxa" w:w="459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활동이 가능한 중등도의 전신질환</w:t>
            </w:r>
          </w:p>
        </w:tc>
        <w:tc>
          <w:tcPr>
            <w:tcW w:type="dxa" w:w="3742"/>
            <w:vMerge w:val="restart"/>
            <w:tcBorders>
              <w:top w:val="single" w:color="B9CCDE" w:sz="3"/>
              <w:left w:val="single" w:color="B9CCDE" w:sz="3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개 1.33 %　·　고양이 1.40 %</w:t>
            </w:r>
          </w:p>
          <w:p>
            <w:pPr>
              <w:spacing w:after="0" w:before="0" w:line="196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6B7683"/>
                <w:sz w:val="14"/>
                <w:szCs w:val="14"/>
              </w:rPr>
              <w:t xml:space="preserve">ASA Ⅲ–Ⅴ 질환 동반 개체 기준</w:t>
            </w:r>
          </w:p>
        </w:tc>
      </w:tr>
      <w:tr>
        <w:trPr>
          <w:trHeight w:val="329" w:hRule="exact"/>
        </w:trPr>
        <w:tc>
          <w:tcPr>
            <w:tcW w:type="dxa" w:w="73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021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Ⅳ</w:t>
            </w:r>
          </w:p>
        </w:tc>
        <w:tc>
          <w:tcPr>
            <w:tcW w:type="dxa" w:w="459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지속적으로 생명을 위협하며 활동이 불가능한 전신질환</w:t>
            </w:r>
          </w:p>
        </w:tc>
        <w:tc>
          <w:tcPr>
            <w:vMerge w:val="continue"/>
            <w:tcBorders>
              <w:top w:val="single" w:color="B9CCDE" w:sz="3"/>
              <w:left w:val="single" w:color="B9CCDE" w:sz="3"/>
              <w:bottom w:val="single" w:color="B9CCDE" w:sz="3"/>
              <w:right w:val="none" w:color="FFFFFF" w:sz="0"/>
            </w:tcBorders>
          </w:tcPr>
          <w:p/>
        </w:tc>
      </w:tr>
      <w:tr>
        <w:trPr>
          <w:trHeight w:val="329" w:hRule="exact"/>
        </w:trPr>
        <w:tc>
          <w:tcPr>
            <w:tcW w:type="dxa" w:w="73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021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Ⅴ</w:t>
            </w:r>
          </w:p>
        </w:tc>
        <w:tc>
          <w:tcPr>
            <w:tcW w:type="dxa" w:w="459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수술과 관계없이 24시간 이내 사망할 수 있는 빈사 상태</w:t>
            </w:r>
          </w:p>
        </w:tc>
        <w:tc>
          <w:tcPr>
            <w:vMerge w:val="continue"/>
            <w:tcBorders>
              <w:top w:val="single" w:color="B9CCDE" w:sz="3"/>
              <w:left w:val="single" w:color="B9CCDE" w:sz="3"/>
              <w:bottom w:val="single" w:color="B9CCDE" w:sz="3"/>
              <w:right w:val="none" w:color="FFFFFF" w:sz="0"/>
            </w:tcBorders>
          </w:tcPr>
          <w:p/>
        </w:tc>
      </w:tr>
      <w:tr>
        <w:trPr>
          <w:trHeight w:val="329" w:hRule="exact"/>
        </w:trPr>
        <w:tc>
          <w:tcPr>
            <w:tcW w:type="dxa" w:w="737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021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E</w:t>
            </w:r>
          </w:p>
        </w:tc>
        <w:tc>
          <w:tcPr>
            <w:tcW w:type="dxa" w:w="4590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위 등급에 해당하면서 응급으로 시행하는 경우</w:t>
            </w:r>
          </w:p>
        </w:tc>
        <w:tc>
          <w:tcPr>
            <w:tcW w:type="dxa" w:w="3742"/>
            <w:tcBorders>
              <w:top w:val="single" w:color="B9CCDE" w:sz="3"/>
              <w:left w:val="single" w:color="B9CCDE" w:sz="3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color w:val="6B7683"/>
                <w:sz w:val="16"/>
                <w:szCs w:val="16"/>
              </w:rPr>
              <w:t xml:space="preserve">응급 상황은 위험을 더 높입니다</w:t>
            </w:r>
          </w:p>
        </w:tc>
      </w:tr>
    </w:tbl>
    <w:p>
      <w:pPr>
        <w:spacing w:after="0" w:before="0" w:line="196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※ 위험 수치 출처 : 영국 CEPSAF 연구(Brodbelt 등, 2008, 개 98,036두 · 고양이 79,178두). 전체 평균 개 0.17 % · 고양이 0.24 %이며, 개별 위험은 질환 · 수술 종류 · 연령에 따라 달라집니다. 위 후유증은 전형적으로 예상되는 사항으로 예측하지 못한 상황이 발생할 수 있습니다.</w:t>
      </w:r>
    </w:p>
    <w:p>
      <w:pPr>
        <w:spacing w:after="0" w:before="0" w:line="7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"/>
        <w:gridCol w:w="9960"/>
      </w:tblGrid>
      <w:tr>
        <w:trPr>
          <w:trHeight w:val="340" w:hRule="exact"/>
        </w:trPr>
        <w:tc>
          <w:tcPr>
            <w:tcW w:type="dxa" w:w="1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9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A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9"/>
                <w:szCs w:val="19"/>
              </w:rPr>
              <w:t xml:space="preserve">수술등중대진료 전후에 보호자가 준수 및 숙지하여야 할 사항</w:t>
            </w:r>
            <w:r>
              <w:rPr>
                <w:rFonts w:ascii="Malgun Gothic" w:eastAsia="Malgun Gothic" w:hAnsi="Malgun Gothic"/>
                <w:b w:val="false"/>
                <w:bCs w:val="false"/>
                <w:color w:val="6B7683"/>
                <w:sz w:val="15"/>
                <w:szCs w:val="15"/>
              </w:rPr>
              <w:t xml:space="preserve">  — 해당 항목에 표시하여 주십시오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□  마취 시 수술 전 일정 시간의 금식과 금수가 필요합니다.  ( 음식 ______ 시간 · 물 ______ 시간 )</w:t>
            </w:r>
          </w:p>
        </w:tc>
      </w:tr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□  마취를 시행함에 있어 발생할 수 있는 부작용 · 합병증 또는 후유증에 대한 설명을 충분히 듣고 이해하였습니다.</w:t>
            </w:r>
          </w:p>
        </w:tc>
      </w:tr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□  마취 과정에 있어 불가항력적이거나 환자의 특이체질로 인한 우발사고의 가능성을 인정합니다.</w:t>
            </w:r>
          </w:p>
        </w:tc>
      </w:tr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□  수술 후 주의사항(넥카라 · 활동 제한 · 투약 등)을 준수하고, 응급상황에 연락 가능한 연락처를 유지합니다.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5"/>
        <w:gridCol w:w="5045"/>
      </w:tblGrid>
      <w:tr>
        <w:trPr>
          <w:trHeight w:val="340" w:hRule="exact"/>
        </w:trPr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□  심폐소생술(CPR) :  □ 시행 원함   □ 원하지 않음(DNR)</w:t>
            </w:r>
          </w:p>
        </w:tc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□  마취 및 수술비 설명을 들었음  ( 예상 : _________ 원 )</w:t>
            </w:r>
          </w:p>
        </w:tc>
      </w:tr>
      <w:tr>
        <w:trPr>
          <w:trHeight w:val="340" w:hRule="exact"/>
        </w:trPr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□  수술 중 상태에 따라 범위가 변경될 수 있음을 설명받음</w:t>
            </w:r>
          </w:p>
        </w:tc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변경 시 :  □ 사전 연락 요망   □ 수의사 판단에 위임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035293" w:sz="8"/>
              <w:left w:val="single" w:color="035293" w:sz="8"/>
              <w:bottom w:val="single" w:color="035293" w:sz="8"/>
              <w:right w:val="single" w:color="035293" w:sz="8"/>
            </w:tcBorders>
            <w:shd w:fill="EDF3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「수의사법」 제13조의2 및 같은 법 시행규칙 제13조의3에 따라 위와 같이 수의사로부터 수술등중대진료에 관한 설명을 들었으며, 그 필요성 · 방법 · 내용과 전형적으로 예상되는 후유증 및 부작용을 충분히 이해하였습니다. 이에 위 수술등중대진료 및 마취의 시행에 동의하며, 관련한 수의학적 처치를 담당 수의사에게 위임합니다.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2155"/>
        <w:gridCol w:w="737"/>
        <w:gridCol w:w="2665"/>
        <w:gridCol w:w="1134"/>
        <w:gridCol w:w="2662"/>
      </w:tblGrid>
      <w:tr>
        <w:trPr>
          <w:trHeight w:val="545" w:hRule="exact"/>
        </w:trPr>
        <w:tc>
          <w:tcPr>
            <w:tcW w:type="dxa" w:w="73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작성일</w:t>
            </w:r>
          </w:p>
        </w:tc>
        <w:tc>
          <w:tcPr>
            <w:tcW w:type="dxa" w:w="215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20____년  ____월  ____일</w:t>
            </w:r>
          </w:p>
        </w:tc>
        <w:tc>
          <w:tcPr>
            <w:tcW w:type="dxa" w:w="73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보호자</w:t>
            </w:r>
          </w:p>
        </w:tc>
        <w:tc>
          <w:tcPr>
            <w:tcW w:type="dxa" w:w="266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성명 : __________ (서명 또는 인)</w:t>
            </w:r>
          </w:p>
        </w:tc>
        <w:tc>
          <w:tcPr>
            <w:tcW w:type="dxa" w:w="1134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266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7"/>
                <w:szCs w:val="17"/>
              </w:rPr>
              <w:t xml:space="preserve">성명 : __________ (서명 또는 인)</w:t>
            </w:r>
          </w:p>
        </w:tc>
      </w:tr>
    </w:tbl>
    <w:p>
      <w:pPr>
        <w:pBdr>
          <w:top w:val="single" w:color="035293" w:sz="8" w:space="4"/>
        </w:pBdr>
        <w:spacing w:before="80" w:line="21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(KAHA-F-2601) — 병원 실정에 맞게 수정 후 사용하십시오.</w:t>
      </w: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2026-08-18T09:00:32.779Z</dcterms:created>
  <dcterms:modified xsi:type="dcterms:W3CDTF">2026-08-18T09:00:32.779Z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