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VICTOR RAMAYRAT</w:t>
      </w:r>
    </w:p>
    <w:p>
      <w:pPr>
        <w:spacing w:after="20"/>
        <w:jc w:val="center"/>
      </w:pPr>
      <w:r>
        <w:rPr>
          <w:sz w:val="20"/>
          <w:szCs w:val="20"/>
        </w:rPr>
        <w:t xml:space="preserve">victor@marketgrowth.io  |  [Phone]  |  [City, State]</w:t>
      </w:r>
    </w:p>
    <w:p>
      <w:pPr>
        <w:spacing w:after="80"/>
        <w:jc w:val="center"/>
      </w:pPr>
      <w:r>
        <w:rPr>
          <w:sz w:val="20"/>
          <w:szCs w:val="20"/>
        </w:rPr>
        <w:t xml:space="preserve">U.S. Citizen  |  U.S. Air Force Veteran  |  [Veterans' Preference, if claimed]</w:t>
      </w:r>
    </w:p>
    <w:p>
      <w:pPr>
        <w:pStyle w:val="Heading1"/>
        <w:pBdr>
          <w:bottom w:val="single" w:color="1F3864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SUMMARY OF QUALIFICATIONS</w:t>
      </w:r>
    </w:p>
    <w:p>
      <w:pPr>
        <w:spacing w:after="60"/>
      </w:pPr>
      <w:r>
        <w:rPr>
          <w:sz w:val="21"/>
          <w:szCs w:val="21"/>
        </w:rPr>
        <w:t xml:space="preserve">Visual information and digital media professional with 10+ years planning, designing, and producing visual communication products for web, multimedia, and publishing channels in enterprise and high-growth environments. Expert in design and layout principles — visual hierarchy, balance, contrast, typography, and color theory — applied across complex, multi-brand projects from concept through publication. Skilled at merging written communication objectives with still, video, and graphic imagery into single, unified products tailored to specific audiences, including accessibility (Section 508 / WCAG) and color-contrast compliance. Communicates design concepts clearly and diplomatically, orally and in writing, to executives, stakeholders, and cross-functional teams.</w:t>
      </w:r>
    </w:p>
    <w:p>
      <w:pPr>
        <w:pStyle w:val="Heading1"/>
        <w:pBdr>
          <w:bottom w:val="single" w:color="1F3864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VISUAL INFORMATION SKILLS &amp;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 &amp; production: Adobe InDesign (layout and publishing), Photoshop (image editing and photo retouching), Illustrator (illustration and vector graphics), Premiere Pro (video editing and production), Figma, Canva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Typography: typographic hierarchy and pairing using typography libraries including Adobe Fonts and Google Fonts; web font implementation and licensing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 principles: layout and composition, perspective, balance and contrast, color science and palette systems, brand identity standards, grid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Publishing &amp; reproduction: content management systems (WordPress, Contentful, Sanity), responsive web layout (HTML5/CSS), digital asset management, print-ready and web-optimized file preparation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Accessibility &amp; quality: Section 508 / WCAG 2.1 AA compliance, color-contrast verification, rigorous visual QA processes</w:t>
      </w:r>
    </w:p>
    <w:p>
      <w:pPr>
        <w:pStyle w:val="Heading1"/>
        <w:pBdr>
          <w:bottom w:val="single" w:color="1F3864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RELEVANT EXPERIENCE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1"/>
          <w:szCs w:val="21"/>
        </w:rPr>
        <w:t xml:space="preserve">Pegasus Strategy Co.</w:t>
      </w:r>
      <w:r>
        <w:rPr>
          <w:sz w:val="21"/>
          <w:szCs w:val="21"/>
        </w:rPr>
        <w:t xml:space="preserve">	Remote</w:t>
      </w:r>
    </w:p>
    <w:p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 xml:space="preserve">Digital Experience &amp; GTM Engineering</w:t>
      </w:r>
      <w:r>
        <w:rPr>
          <w:sz w:val="21"/>
          <w:szCs w:val="21"/>
        </w:rPr>
        <w:t xml:space="preserve">	February 2025 – Present | 40 hrs/week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Plan, design, and execute the complete visual presentation of multiple client web properties — concept, layout, typography, color palette, and imagery — carrying complex projects from initial concept through publication.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Merge written messaging objectives with still, video, and graphic imagery into single, unified digital products (community hubs, content sites, brand sites) that support each organization's communication goals.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Consult with client stakeholders to understand their programs, products, services, and audiences; present visual concepts orally and in writing, incorporating feedback with tact and diplomacy.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Notable products: PeopleCert Community (global ITIL/ITSM professional community), ForwardGTM.com (content hub), PegasusStrategy.co, EdgeMonsters.dev (developer community).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1"/>
          <w:szCs w:val="21"/>
        </w:rPr>
        <w:t xml:space="preserve">PwC — Products &amp; Technology</w:t>
      </w:r>
      <w:r>
        <w:rPr>
          <w:sz w:val="21"/>
          <w:szCs w:val="21"/>
        </w:rPr>
        <w:t xml:space="preserve">	San Francisco, CA</w:t>
      </w:r>
    </w:p>
    <w:p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 xml:space="preserve">Digital Performance, Senior Manager</w:t>
      </w:r>
      <w:r>
        <w:rPr>
          <w:sz w:val="21"/>
          <w:szCs w:val="21"/>
        </w:rPr>
        <w:t xml:space="preserve">	December 2019 – October 2024 | 40 hrs/week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Directed visual design, layout, and publication for the PwC Products web portfolio — including the Risk, Workforce, and Wealth Compass brands — executing a variety of complex, concurrent design projects for a Big Four professional services firm.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Applied firm brand standards, typography systems, color palettes, and layout/contrast principles to ensure consistent, accessible visual communication across all campaign and product pages, including WCAG 2.1 AA color-contrast compliance.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Incorporated still imagery, video, motion, and typography into campaign landing pages, combining written go-to-market objectives with visual media into single products supporting marketing and communications messages.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Operated and managed the digital production and publishing stack (Contentful, GatsbyJS, WordPress) used to produce, reproduce, and distribute artwork, photos, and video at enterprise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Advised product, marketing, and leadership stakeholders on visual communication strategy; presented design rationale to senior audiences and reconciled competing feedback diplomatically.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1"/>
          <w:szCs w:val="21"/>
        </w:rPr>
        <w:t xml:space="preserve">Palo Alto Networks</w:t>
      </w:r>
      <w:r>
        <w:rPr>
          <w:sz w:val="21"/>
          <w:szCs w:val="21"/>
        </w:rPr>
        <w:t xml:space="preserve">	Santa Clara, CA</w:t>
      </w:r>
    </w:p>
    <w:p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 xml:space="preserve">Marketing Technology Innovation Developer</w:t>
      </w:r>
      <w:r>
        <w:rPr>
          <w:sz w:val="21"/>
          <w:szCs w:val="21"/>
        </w:rPr>
        <w:t xml:space="preserve">	December 2018 – August 2019 | 40 hrs/week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audience-targeted interactive communication experiences (conversational marketing programs) supporting corporate events and campaigns; tailored message, tone, and visual presentation to specific audiences, increasing event registration over 50% year-over-year.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Collaborated with brand, communications, and sales teams to align interactive content and visual presentation with organizational messaging objectives; programs contributed over $2M in monthly pipeline.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1"/>
          <w:szCs w:val="21"/>
        </w:rPr>
        <w:t xml:space="preserve">Redkix (acquired by Meta)</w:t>
      </w:r>
      <w:r>
        <w:rPr>
          <w:sz w:val="21"/>
          <w:szCs w:val="21"/>
        </w:rPr>
        <w:t xml:space="preserve">	San Mateo, CA</w:t>
      </w:r>
    </w:p>
    <w:p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 xml:space="preserve">Head of Marketing &amp; Growth / Marketing Engineer</w:t>
      </w:r>
      <w:r>
        <w:rPr>
          <w:sz w:val="21"/>
          <w:szCs w:val="21"/>
        </w:rPr>
        <w:t xml:space="preserve">	December 2016 – July 2018 | 40 hrs/week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Sole owner of all company visual and digital assets: designed the layout, graphics, imagery, and typography of the main website, blog, landing pages, and social media presence, maintaining a consistent visual identity across every channel.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Combined written campaign objectives with graphic imagery and page layout into conversion-focused products, achieving over 10% visitor-to-signup conversion and 5–10% month-over-month audience growth.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Produced and published web graphics and marketing imagery on a continuous release cycle, performing hands-on production work in HTML5, CSS, and WordPress.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1"/>
          <w:szCs w:val="21"/>
        </w:rPr>
        <w:t xml:space="preserve">Tradeshift</w:t>
      </w:r>
      <w:r>
        <w:rPr>
          <w:sz w:val="21"/>
          <w:szCs w:val="21"/>
        </w:rPr>
        <w:t xml:space="preserve">	San Francisco, CA</w:t>
      </w:r>
    </w:p>
    <w:p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 xml:space="preserve">Digital Marketing Engineer / Senior Web Developer</w:t>
      </w:r>
      <w:r>
        <w:rPr>
          <w:sz w:val="21"/>
          <w:szCs w:val="21"/>
        </w:rPr>
        <w:t xml:space="preserve">	February 2015 – December 2016 | 40 hrs/week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Technical and visual production lead for tradeshift.com and auxiliary sites (blog, apps marketplace, international sites); responsible for layout, visual consistency, and publication of all digital assets.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Adapted page layouts, imagery, and visual hierarchy for localized international audiences, ensuring each version conveyed the intended message to its specific audience.</w:t>
      </w:r>
    </w:p>
    <w:p>
      <w:pPr>
        <w:pStyle w:val="Heading1"/>
        <w:pBdr>
          <w:bottom w:val="single" w:color="1F3864" w:sz="6" w:space="2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M.B.A., Marketing — National University</w:t>
      </w:r>
      <w:r>
        <w:rPr>
          <w:sz w:val="21"/>
          <w:szCs w:val="21"/>
        </w:rPr>
        <w:t xml:space="preserve">	2005 – 2007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B.S., Information Systems — Fresno State</w:t>
      </w:r>
      <w:r>
        <w:rPr>
          <w:sz w:val="21"/>
          <w:szCs w:val="21"/>
        </w:rPr>
        <w:t xml:space="preserve">	1996 – 2000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Associate Degree — Community College of the Air Force (USAF)</w:t>
      </w:r>
      <w:r>
        <w:rPr>
          <w:sz w:val="21"/>
          <w:szCs w:val="21"/>
        </w:rPr>
        <w:t xml:space="preserve">	1992 – 1994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2026-07-09T19:56:27.617Z</dcterms:created>
  <dcterms:modified xsi:type="dcterms:W3CDTF">2026-07-09T19:56:27.618Z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