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Segoe UI" w:hAnsi="Segoe UI"/>
          <w:b/>
          <w:color w:val="1E3A8A"/>
          <w:sz w:val="40"/>
        </w:rPr>
        <w:t>PetroView Forecourt OS — System Architecture Design Document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Document Version:</w:t>
      </w:r>
      <w:r>
        <w:rPr>
          <w:rFonts w:ascii="Segoe UI" w:hAnsi="Segoe UI"/>
          <w:color w:val="1E293B"/>
          <w:sz w:val="20"/>
        </w:rPr>
        <w:t xml:space="preserve"> 2.0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Status:</w:t>
      </w:r>
      <w:r>
        <w:rPr>
          <w:rFonts w:ascii="Segoe UI" w:hAnsi="Segoe UI"/>
          <w:color w:val="1E293B"/>
          <w:sz w:val="20"/>
        </w:rPr>
        <w:t xml:space="preserve"> Approved / Production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Target Platform:</w:t>
      </w:r>
      <w:r>
        <w:rPr>
          <w:rFonts w:ascii="Segoe UI" w:hAnsi="Segoe UI"/>
          <w:color w:val="1E293B"/>
          <w:sz w:val="20"/>
        </w:rPr>
        <w:t xml:space="preserve"> Web (PWA / SPA) &amp; Mobile (Capacitor / Android POS)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Last Updated:</w:t>
      </w:r>
      <w:r>
        <w:rPr>
          <w:rFonts w:ascii="Segoe UI" w:hAnsi="Segoe UI"/>
          <w:color w:val="1E293B"/>
          <w:sz w:val="20"/>
        </w:rPr>
        <w:t xml:space="preserve"> September 2026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1. Architectural Philosophy &amp; Design Principles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PetroView is architected from the ground up on three foundational pillars: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Offline-First (Local-First Data Authority):</w:t>
      </w:r>
      <w:r>
        <w:rPr>
          <w:rFonts w:ascii="Segoe UI" w:hAnsi="Segoe UI"/>
          <w:color w:val="1E293B"/>
          <w:sz w:val="20"/>
        </w:rPr>
        <w:t xml:space="preserve"> The client device (forecourt terminal or supervisor tablet) is the authoritative source of transactional truth during disconnected operations. Operations never block waiting for cloud API responses.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Deterministic State Reconciliation:</w:t>
      </w:r>
      <w:r>
        <w:rPr>
          <w:rFonts w:ascii="Segoe UI" w:hAnsi="Segoe UI"/>
          <w:color w:val="1E293B"/>
          <w:sz w:val="20"/>
        </w:rPr>
        <w:t xml:space="preserve"> Shift sales, pump meter deltas, and payment distributions are computed via deterministic state machines, ensuring consistent variance metrics regardless of network conditions.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Multi-Tenant Partitioning:</w:t>
      </w:r>
      <w:r>
        <w:rPr>
          <w:rFonts w:ascii="Segoe UI" w:hAnsi="Segoe UI"/>
          <w:color w:val="1E293B"/>
          <w:sz w:val="20"/>
        </w:rPr>
        <w:t xml:space="preserve"> Data isolation is enforced across Oil Marketing Companies (OMCs) and their respective retail stations, while enabling global administrative orchestration by the Super Super Admin.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2. High-Level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+-----------------------------------------------------------------------------------+</w:t>
              <w:br/>
              <w:t>|                              CLIENT TIER (FORECOURT)                              |</w:t>
              <w:br/>
              <w:t>|                                                                                   |</w:t>
              <w:br/>
              <w:t>|  +--------------------+  +--------------------+  +-----------------------------+  |</w:t>
              <w:br/>
              <w:t>|  |  Pump Attendant    |  |  Station Manager   |  |   OMC Head Office &amp; Admin   |  |</w:t>
              <w:br/>
              <w:t>|  |  (Sales Terminal)  |  |  (Supervisor OS)   |  |   (Executive Dashboards)    |  |</w:t>
              <w:br/>
              <w:t>|  +--------------------+  +--------------------+  +-----------------------------+  |</w:t>
              <w:br/>
              <w:t>|            |                       |                            |                 |</w:t>
              <w:br/>
              <w:t>|            +-----------------------+----------------------------+                 |</w:t>
              <w:br/>
              <w:t>|                                    |                                              |</w:t>
              <w:br/>
              <w:t>|            +----------------------------------------------------+                 |</w:t>
              <w:br/>
              <w:t>|            |            Presentation &amp; UI Layer                 |                 |</w:t>
              <w:br/>
              <w:t>|            |  - React 18 / TypeScript / Vite                    |                 |</w:t>
              <w:br/>
              <w:t>|            |  - Tailwind CSS + Glassmorphic Design System       |                 |</w:t>
              <w:br/>
              <w:t>|            |  - Theme Context Engine (Light / Dark Mode)        |                 |</w:t>
              <w:br/>
              <w:t>|            |  - Lucide Vector Iconography                       |                 |</w:t>
              <w:br/>
              <w:t>|            +----------------------------------------------------+                 |</w:t>
              <w:br/>
              <w:t>|                                    |                                              |</w:t>
              <w:br/>
              <w:t>|            +----------------------------------------------------+                 |</w:t>
              <w:br/>
              <w:t>|            |          Domain &amp; Application Services             |                 |</w:t>
              <w:br/>
              <w:t>|            |  - authService (PIN Salting, Hashing, Sessions)    |                 |</w:t>
              <w:br/>
              <w:t>|            |  - shiftService (Meter Deltas, Shift Lifecycle)    |                 |</w:t>
              <w:br/>
              <w:t>|            |  - productService (Dynamic Pricing, Catalogs)      |                 |</w:t>
              <w:br/>
              <w:t>|            |  - rollupService (Station &amp; Fleet Aggregations)    |                 |</w:t>
              <w:br/>
              <w:t>|            |  - syncService (Background Sync Queue)             |                 |</w:t>
              <w:br/>
              <w:t>|            |  - exportService (PDF &amp; Excel Workbooks)           |                 |</w:t>
              <w:br/>
              <w:t>|            +----------------------------------------------------+                 |</w:t>
              <w:br/>
              <w:t>|                                    |                                              |</w:t>
              <w:br/>
              <w:t>|            +----------------------------------------------------+                 |</w:t>
              <w:br/>
              <w:t>|            |           Infrastructure &amp; Local Storage           |                 |</w:t>
              <w:br/>
              <w:t>|            |  - Dexie.js (IndexedDB wrapper, v7 Schema)         |                 |</w:t>
              <w:br/>
              <w:t>|            |  - LocalStorage (Theme &amp; Transient State)          |                 |</w:t>
              <w:br/>
              <w:t>|            +----------------------------------------------------+                 |</w:t>
              <w:br/>
              <w:t>+-----------------------------------------------------------------------------------+</w:t>
              <w:br/>
              <w:t xml:space="preserve">                                     |</w:t>
              <w:br/>
              <w:t xml:space="preserve">               (Asynchronous REST / WebSocket / Local LAN Sync)</w:t>
              <w:br/>
              <w:t xml:space="preserve">                                     |</w:t>
              <w:br/>
              <w:t xml:space="preserve">                                     v</w:t>
              <w:br/>
              <w:t>+-----------------------------------------------------------------------------------+</w:t>
              <w:br/>
              <w:t>|                        EDGE GATEWAY &amp; BACKEND CLUSTER                             |</w:t>
              <w:br/>
              <w:t>|                                                                                   |</w:t>
              <w:br/>
              <w:t>|  +-----------------------------------------------------------------------------+  |</w:t>
              <w:br/>
              <w:t>|  | Traefik v3.6.7 Reverse Proxy (SSL Termination, Let's Encrypt Auto-Renew)   |  |</w:t>
              <w:br/>
              <w:t>|  +-----------------------------------------------------------------------------+  |</w:t>
              <w:br/>
              <w:t>|                                    |                                              |</w:t>
              <w:br/>
              <w:t>|  +---------------------------------+-------------------------------------------+  |</w:t>
              <w:br/>
              <w:t>|  |                                                                             |  |</w:t>
              <w:br/>
              <w:t>|  v                                                                             v  |</w:t>
              <w:br/>
              <w:t>|  +------------------------------------+       +--------------------------------+  |</w:t>
              <w:br/>
              <w:t>|  | Web App Container (Nginx / Alpine) |       | Backend API (Node.js/Express)  |  |</w:t>
              <w:br/>
              <w:t>|  | - Serves SPA Assets                |       | - Telemetry &amp; Fleet Rollups    |  |</w:t>
              <w:br/>
              <w:t>|  | - Caches Static Chunks             |       | - Cloud Database (PostgreSQL)  |  |</w:t>
              <w:br/>
              <w:t>|  +------------------------------------+       +--------------------------------+  |</w:t>
              <w:br/>
              <w:t>+-----------------------------------------------------------------------------------+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3. Detailed Subsystem Breakdown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3.1 Presentation &amp; UI Layer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Core Framework:</w:t>
      </w:r>
      <w:r>
        <w:rPr>
          <w:rFonts w:ascii="Segoe UI" w:hAnsi="Segoe UI"/>
          <w:color w:val="1E293B"/>
          <w:sz w:val="20"/>
        </w:rPr>
        <w:t xml:space="preserve"> React 18 with TypeScript in strict mode.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Styling Architecture:</w:t>
      </w:r>
      <w:r>
        <w:rPr>
          <w:rFonts w:ascii="Segoe UI" w:hAnsi="Segoe UI"/>
          <w:color w:val="1E293B"/>
          <w:sz w:val="20"/>
        </w:rPr>
        <w:t xml:space="preserve"> Responsive Vanilla/Tailwind CSS styling utilizing CSS custom properties for instant light/dark theme switching without layout recalculation or flash of unstyled content (FOUC).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Component Design System: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Card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Button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Badge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ScreenHeader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StatusBar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Tabs</w:t>
      </w:r>
      <w:r>
        <w:rPr>
          <w:rFonts w:ascii="Segoe UI" w:hAnsi="Segoe UI"/>
          <w:color w:val="1E293B"/>
          <w:sz w:val="20"/>
        </w:rPr>
        <w:t xml:space="preserve"> primitives in </w:t>
      </w:r>
      <w:r>
        <w:rPr>
          <w:rFonts w:ascii="Consolas" w:hAnsi="Consolas"/>
          <w:color w:val="C2410C"/>
          <w:sz w:val="18"/>
        </w:rPr>
        <w:t>src/features/shared/ui/index.tsx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Floating Action Bars &amp; Slide-Over Drawers for high-speed one-handed terminal workflows.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3.2 Domain &amp; Application Layer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The business logic is strictly encapsulated in pure TypeScript services: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`authService.ts`</w:t>
      </w:r>
      <w:r>
        <w:rPr>
          <w:rFonts w:ascii="Segoe UI" w:hAnsi="Segoe UI"/>
          <w:color w:val="1E293B"/>
          <w:sz w:val="20"/>
        </w:rPr>
        <w:t>: Handles password/PIN salting (</w:t>
      </w:r>
      <w:r>
        <w:rPr>
          <w:rFonts w:ascii="Consolas" w:hAnsi="Consolas"/>
          <w:color w:val="C2410C"/>
          <w:sz w:val="18"/>
        </w:rPr>
        <w:t>crypto.getRandomValues</w:t>
      </w:r>
      <w:r>
        <w:rPr>
          <w:rFonts w:ascii="Segoe UI" w:hAnsi="Segoe UI"/>
          <w:color w:val="1E293B"/>
          <w:sz w:val="20"/>
        </w:rPr>
        <w:t>) and SHA-256 hashing. Manages role authorization (</w:t>
      </w:r>
      <w:r>
        <w:rPr>
          <w:rFonts w:ascii="Consolas" w:hAnsi="Consolas"/>
          <w:color w:val="C2410C"/>
          <w:sz w:val="18"/>
        </w:rPr>
        <w:t>attendant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supervisor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headoffice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superadmin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`shiftService.ts`</w:t>
      </w:r>
      <w:r>
        <w:rPr>
          <w:rFonts w:ascii="Segoe UI" w:hAnsi="Segoe UI"/>
          <w:color w:val="1E293B"/>
          <w:sz w:val="20"/>
        </w:rPr>
        <w:t>: Governs shift state transitions: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OPEN</w:t>
      </w:r>
      <w:r>
        <w:rPr>
          <w:rFonts w:ascii="Segoe UI" w:hAnsi="Segoe UI"/>
          <w:color w:val="1E293B"/>
          <w:sz w:val="20"/>
        </w:rPr>
        <w:t xml:space="preserve"> -&gt; </w:t>
      </w:r>
      <w:r>
        <w:rPr>
          <w:rFonts w:ascii="Consolas" w:hAnsi="Consolas"/>
          <w:color w:val="C2410C"/>
          <w:sz w:val="18"/>
        </w:rPr>
        <w:t>CLOSED</w:t>
      </w:r>
      <w:r>
        <w:rPr>
          <w:rFonts w:ascii="Segoe UI" w:hAnsi="Segoe UI"/>
          <w:color w:val="1E293B"/>
          <w:sz w:val="20"/>
        </w:rPr>
        <w:t xml:space="preserve"> -&gt; </w:t>
      </w:r>
      <w:r>
        <w:rPr>
          <w:rFonts w:ascii="Consolas" w:hAnsi="Consolas"/>
          <w:color w:val="C2410C"/>
          <w:sz w:val="18"/>
        </w:rPr>
        <w:t>REVIEWED</w:t>
      </w:r>
      <w:r>
        <w:rPr>
          <w:rFonts w:ascii="Segoe UI" w:hAnsi="Segoe UI"/>
          <w:color w:val="1E293B"/>
          <w:sz w:val="20"/>
        </w:rPr>
        <w:t xml:space="preserve"> -&gt; </w:t>
      </w:r>
      <w:r>
        <w:rPr>
          <w:rFonts w:ascii="Consolas" w:hAnsi="Consolas"/>
          <w:color w:val="C2410C"/>
          <w:sz w:val="18"/>
        </w:rPr>
        <w:t>APPROVED</w:t>
      </w:r>
      <w:r>
        <w:rPr>
          <w:rFonts w:ascii="Segoe UI" w:hAnsi="Segoe UI"/>
          <w:color w:val="1E293B"/>
          <w:sz w:val="20"/>
        </w:rPr>
        <w:t xml:space="preserve"> / </w:t>
      </w:r>
      <w:r>
        <w:rPr>
          <w:rFonts w:ascii="Consolas" w:hAnsi="Consolas"/>
          <w:color w:val="C2410C"/>
          <w:sz w:val="18"/>
        </w:rPr>
        <w:t>REJECTED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Computes meter reconciliation: $\Delta V = V_{closing} - V_{opening}$.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Computes financial reconciliation: $\text{Variance} = \sum \text{Payments} - (\Delta V \times \text{Price})$.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Enforces pre-submission mutability and post-submission immutability.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`productService.ts`</w:t>
      </w:r>
      <w:r>
        <w:rPr>
          <w:rFonts w:ascii="Segoe UI" w:hAnsi="Segoe UI"/>
          <w:color w:val="1E293B"/>
          <w:sz w:val="20"/>
        </w:rPr>
        <w:t>: Manages company-specific and global fuel products, categories (</w:t>
      </w:r>
      <w:r>
        <w:rPr>
          <w:rFonts w:ascii="Consolas" w:hAnsi="Consolas"/>
          <w:color w:val="C2410C"/>
          <w:sz w:val="18"/>
        </w:rPr>
        <w:t>FUEL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LUBRICANT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LPG</w:t>
      </w:r>
      <w:r>
        <w:rPr>
          <w:rFonts w:ascii="Segoe UI" w:hAnsi="Segoe UI"/>
          <w:color w:val="1E293B"/>
          <w:sz w:val="20"/>
        </w:rPr>
        <w:t>), and real-time GHS/L unit rates.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`rollupService.ts`</w:t>
      </w:r>
      <w:r>
        <w:rPr>
          <w:rFonts w:ascii="Segoe UI" w:hAnsi="Segoe UI"/>
          <w:color w:val="1E293B"/>
          <w:sz w:val="20"/>
        </w:rPr>
        <w:t>: Calculates real-time multi-station aggregates, payment distribution charts, and period summaries for executive reporting.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`syncService.ts`</w:t>
      </w:r>
      <w:r>
        <w:rPr>
          <w:rFonts w:ascii="Segoe UI" w:hAnsi="Segoe UI"/>
          <w:color w:val="1E293B"/>
          <w:sz w:val="20"/>
        </w:rPr>
        <w:t>: Manages background transactional upload queue with exponential backoff and network change listeners.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`exportService.ts`</w:t>
      </w:r>
      <w:r>
        <w:rPr>
          <w:rFonts w:ascii="Segoe UI" w:hAnsi="Segoe UI"/>
          <w:color w:val="1E293B"/>
          <w:sz w:val="20"/>
        </w:rPr>
        <w:t>: Generates multi-tab Excel workbooks (</w:t>
      </w:r>
      <w:r>
        <w:rPr>
          <w:rFonts w:ascii="Consolas" w:hAnsi="Consolas"/>
          <w:color w:val="C2410C"/>
          <w:sz w:val="18"/>
        </w:rPr>
        <w:t>xlsx</w:t>
      </w:r>
      <w:r>
        <w:rPr>
          <w:rFonts w:ascii="Segoe UI" w:hAnsi="Segoe UI"/>
          <w:color w:val="1E293B"/>
          <w:sz w:val="20"/>
        </w:rPr>
        <w:t>) and formatted PDF audit summaries with company branding.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3.3 Persistence &amp; Storage Layer (Dexie / IndexedDB)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PetroView utilizes IndexedDB through </w:t>
      </w:r>
      <w:r>
        <w:rPr>
          <w:rFonts w:ascii="Segoe UI" w:hAnsi="Segoe UI"/>
          <w:b/>
          <w:color w:val="1E293B"/>
          <w:sz w:val="20"/>
        </w:rPr>
        <w:t>Dexie.js</w:t>
      </w:r>
      <w:r>
        <w:rPr>
          <w:rFonts w:ascii="Segoe UI" w:hAnsi="Segoe UI"/>
          <w:color w:val="1E293B"/>
          <w:sz w:val="20"/>
        </w:rPr>
        <w:t xml:space="preserve"> with a versioned schema (</w:t>
      </w:r>
      <w:r>
        <w:rPr>
          <w:rFonts w:ascii="Consolas" w:hAnsi="Consolas"/>
          <w:color w:val="C2410C"/>
          <w:sz w:val="18"/>
        </w:rPr>
        <w:t>MasterViewProductionDB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Dexie Schema v7: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companies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shortCode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name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adminCode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active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companyStations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companyId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name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attendants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employeeCode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stationId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companyId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active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approvalStatus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supervisors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employeeCode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stationId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companyId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active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approvalStatus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isHeadOffice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isSuperAdmin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sessions</w:t>
      </w:r>
      <w:r>
        <w:rPr>
          <w:rFonts w:ascii="Segoe UI" w:hAnsi="Segoe UI"/>
          <w:color w:val="1E293B"/>
          <w:sz w:val="20"/>
        </w:rPr>
        <w:t xml:space="preserve"> &amp; </w:t>
      </w:r>
      <w:r>
        <w:rPr>
          <w:rFonts w:ascii="Consolas" w:hAnsi="Consolas"/>
          <w:color w:val="C2410C"/>
          <w:sz w:val="18"/>
        </w:rPr>
        <w:t>supervisorSessions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token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expiresAt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shifts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number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attendantId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stationId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status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syncStatus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openedAt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createdAt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transactions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shiftId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fuelCode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method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recordedAt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products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companyId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code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name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category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active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receipts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shiftId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capturedAt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syncQueue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entityType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entityId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status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attempts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nextRetryAt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auditLog</w:t>
      </w:r>
      <w:r>
        <w:rPr>
          <w:rFonts w:ascii="Segoe UI" w:hAnsi="Segoe UI"/>
          <w:color w:val="1E293B"/>
          <w:sz w:val="20"/>
        </w:rPr>
        <w:t xml:space="preserve">: Primary key </w:t>
      </w:r>
      <w:r>
        <w:rPr>
          <w:rFonts w:ascii="Consolas" w:hAnsi="Consolas"/>
          <w:color w:val="C2410C"/>
          <w:sz w:val="18"/>
        </w:rPr>
        <w:t>id</w:t>
      </w:r>
      <w:r>
        <w:rPr>
          <w:rFonts w:ascii="Segoe UI" w:hAnsi="Segoe UI"/>
          <w:color w:val="1E293B"/>
          <w:sz w:val="20"/>
        </w:rPr>
        <w:t xml:space="preserve">, indexed on </w:t>
      </w:r>
      <w:r>
        <w:rPr>
          <w:rFonts w:ascii="Consolas" w:hAnsi="Consolas"/>
          <w:color w:val="C2410C"/>
          <w:sz w:val="18"/>
        </w:rPr>
        <w:t>action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actorId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actorRole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targetId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timestamp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4. Multi-Tenant Data Scoping &amp; Role-Based Access Control (RBAC)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Scoping Boundary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Super Super Admin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Global (All Tenants)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Full CRUD on OMCs, Stations, Global Products, Master PIN resets, Platform telemetry.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OMC Head Office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Single Company (</w:t>
            </w:r>
            <w:r>
              <w:rPr>
                <w:rFonts w:ascii="Consolas" w:hAnsi="Consolas"/>
                <w:color w:val="B45309"/>
                <w:sz w:val="17"/>
              </w:rPr>
              <w:t>companyId</w:t>
            </w:r>
            <w:r>
              <w:rPr>
                <w:rFonts w:ascii="Segoe UI" w:hAnsi="Segoe UI"/>
                <w:color w:val="1E293B"/>
                <w:sz w:val="18"/>
              </w:rPr>
              <w:t>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Full oversight of all stations under that OMC. Product pricing for company. Staff approval/deactivation. Fleet audits.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Station Manager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Single Station (</w:t>
            </w:r>
            <w:r>
              <w:rPr>
                <w:rFonts w:ascii="Consolas" w:hAnsi="Consolas"/>
                <w:color w:val="B45309"/>
                <w:sz w:val="17"/>
              </w:rPr>
              <w:t>stationId</w:t>
            </w:r>
            <w:r>
              <w:rPr>
                <w:rFonts w:ascii="Segoe UI" w:hAnsi="Segoe UI"/>
                <w:color w:val="1E293B"/>
                <w:sz w:val="18"/>
              </w:rPr>
              <w:t>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Station staff management, shift approval/rejection, wet-stock tank dippings, shift exports.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Pump Attendant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Single Shift (</w:t>
            </w:r>
            <w:r>
              <w:rPr>
                <w:rFonts w:ascii="Consolas" w:hAnsi="Consolas"/>
                <w:color w:val="B45309"/>
                <w:sz w:val="17"/>
              </w:rPr>
              <w:t>shiftId</w:t>
            </w:r>
            <w:r>
              <w:rPr>
                <w:rFonts w:ascii="Segoe UI" w:hAnsi="Segoe UI"/>
                <w:color w:val="1E293B"/>
                <w:sz w:val="18"/>
              </w:rPr>
              <w:t>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Self-registration, opening meters, recording fuel sales, editing pre-submission sales, closing meters.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5. Security &amp; Threat Mitigation Architecture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Zero Plaintext Storage:</w:t>
      </w:r>
      <w:r>
        <w:rPr>
          <w:rFonts w:ascii="Segoe UI" w:hAnsi="Segoe UI"/>
          <w:color w:val="1E293B"/>
          <w:sz w:val="20"/>
        </w:rPr>
        <w:t xml:space="preserve"> PINs are never stored in plaintext. They are salted with 16-byte cryptographically secure random bytes and hashed with PBKDF2/SHA-256 before insertion into IndexedDB.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Session Lifecycles:</w:t>
      </w:r>
      <w:r>
        <w:rPr>
          <w:rFonts w:ascii="Segoe UI" w:hAnsi="Segoe UI"/>
          <w:color w:val="1E293B"/>
          <w:sz w:val="20"/>
        </w:rPr>
        <w:t xml:space="preserve"> Attendant and Supervisor sessions generate unique cryptographically random bearer tokens valid for 12 hours with automated expiry sweeps.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Audit Log Immutability:</w:t>
      </w:r>
      <w:r>
        <w:rPr>
          <w:rFonts w:ascii="Segoe UI" w:hAnsi="Segoe UI"/>
          <w:color w:val="1E293B"/>
          <w:sz w:val="20"/>
        </w:rPr>
        <w:t xml:space="preserve"> The </w:t>
      </w:r>
      <w:r>
        <w:rPr>
          <w:rFonts w:ascii="Consolas" w:hAnsi="Consolas"/>
          <w:color w:val="C2410C"/>
          <w:sz w:val="18"/>
        </w:rPr>
        <w:t>auditLog</w:t>
      </w:r>
      <w:r>
        <w:rPr>
          <w:rFonts w:ascii="Segoe UI" w:hAnsi="Segoe UI"/>
          <w:color w:val="1E293B"/>
          <w:sz w:val="20"/>
        </w:rPr>
        <w:t xml:space="preserve"> repository is append-only. No UI or API endpoint permits updating or deleting audit records.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Shift Tamper Resistance:</w:t>
      </w:r>
      <w:r>
        <w:rPr>
          <w:rFonts w:ascii="Segoe UI" w:hAnsi="Segoe UI"/>
          <w:color w:val="1E293B"/>
          <w:sz w:val="20"/>
        </w:rPr>
        <w:t xml:space="preserve"> Shift records maintain strict integrity checks. Once a shift status moves from </w:t>
      </w:r>
      <w:r>
        <w:rPr>
          <w:rFonts w:ascii="Consolas" w:hAnsi="Consolas"/>
          <w:color w:val="C2410C"/>
          <w:sz w:val="18"/>
        </w:rPr>
        <w:t>OPEN</w:t>
      </w:r>
      <w:r>
        <w:rPr>
          <w:rFonts w:ascii="Segoe UI" w:hAnsi="Segoe UI"/>
          <w:color w:val="1E293B"/>
          <w:sz w:val="20"/>
        </w:rPr>
        <w:t xml:space="preserve"> to </w:t>
      </w:r>
      <w:r>
        <w:rPr>
          <w:rFonts w:ascii="Consolas" w:hAnsi="Consolas"/>
          <w:color w:val="C2410C"/>
          <w:sz w:val="18"/>
        </w:rPr>
        <w:t>CLOSED</w:t>
      </w:r>
      <w:r>
        <w:rPr>
          <w:rFonts w:ascii="Segoe UI" w:hAnsi="Segoe UI"/>
          <w:color w:val="1E293B"/>
          <w:sz w:val="20"/>
        </w:rPr>
        <w:t>, all sales modification and deletion endpoints reject operations at the core service level.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6. Directory Structure &amp; Code 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src/</w:t>
              <w:br/>
              <w:t>├── context/</w:t>
              <w:br/>
              <w:t>│   └── ThemeContext.tsx            # Theme state provider &amp; persistence</w:t>
              <w:br/>
              <w:t>├── core/</w:t>
              <w:br/>
              <w:t>│   ├── domain/</w:t>
              <w:br/>
              <w:t>│   │   └── types.ts                # Pure TypeScript domain interfaces</w:t>
              <w:br/>
              <w:t>│   ├── infra/</w:t>
              <w:br/>
              <w:t>│   │   ├── db.ts                   # Dexie IndexedDB v7 schema &amp; initializers</w:t>
              <w:br/>
              <w:t>│   │   ├── password.ts             # Crypto salting &amp; PBKDF2/SHA-256 hashing</w:t>
              <w:br/>
              <w:t>│   │   └── repositories.ts         # Type-safe entity CRUD repositories</w:t>
              <w:br/>
              <w:t>│   └── services/</w:t>
              <w:br/>
              <w:t>│       ├── authService.ts          # Authentication &amp; session token engine</w:t>
              <w:br/>
              <w:t>│       ├── exportService.ts        # PDF &amp; Excel report generator</w:t>
              <w:br/>
              <w:t>│       ├── productService.ts       # Fuel product &amp; dynamic pricing service</w:t>
              <w:br/>
              <w:t>│       ├── rollupService.ts        # Forecourt &amp; fleet analytics rollup</w:t>
              <w:br/>
              <w:t>│       ├── shiftService.ts         # Shift lifecycle &amp; meter reconciliation</w:t>
              <w:br/>
              <w:t>│       └── syncService.ts          # Offline sync queue orchestrator</w:t>
              <w:br/>
              <w:t>├── features/</w:t>
              <w:br/>
              <w:t>│   ├── attendant/</w:t>
              <w:br/>
              <w:t>│   │   ├── providers.tsx           # Attendant shift context provider</w:t>
              <w:br/>
              <w:t>│   │   └── screens/</w:t>
              <w:br/>
              <w:t>│   │       ├── ActiveShiftScreen.tsx</w:t>
              <w:br/>
              <w:t>│   │       ├── ClosingReadingsScreen.tsx</w:t>
              <w:br/>
              <w:t>│   │       ├── OpeningReadingsScreen.tsx</w:t>
              <w:br/>
              <w:t>│   │       ├── ReviewShiftScreen.tsx</w:t>
              <w:br/>
              <w:t>│   │       ├── SalesScreen.tsx     # Fast dispense pad, drawer &amp; edit modal</w:t>
              <w:br/>
              <w:t>│   │       └── ShiftSummaryScreen.tsx</w:t>
              <w:br/>
              <w:t>│   ├── headoffice/</w:t>
              <w:br/>
              <w:t>│   │   └── HeadOfficeDashboard.tsx # OMC executive fleet &amp; pricing portal</w:t>
              <w:br/>
              <w:t>│   ├── superadmin/</w:t>
              <w:br/>
              <w:t>│   │   └── SuperSuperAdminDashboard.tsx # Super Admin OMC &amp; global product manager</w:t>
              <w:br/>
              <w:t>│   ├── supervisor/</w:t>
              <w:br/>
              <w:t>│   │   ├── providers.tsx           # Supervisor station context provider</w:t>
              <w:br/>
              <w:t>│   │   └── screens/</w:t>
              <w:br/>
              <w:t>│   │       ├── AttendantManagementScreen.tsx</w:t>
              <w:br/>
              <w:t>│   │       ├── AuditLogScreen.tsx  # Immutable system audit trail viewer</w:t>
              <w:br/>
              <w:t>│   │       ├── DashboardScreen.tsx # Live forecourt monitoring</w:t>
              <w:br/>
              <w:t>│   │       ├── DipstickScreen.tsx  # Underground tank wet-stock entry</w:t>
              <w:br/>
              <w:t>│   │       ├── EndOfDayScreen.tsx  # Daily station closure &amp; rollup</w:t>
              <w:br/>
              <w:t>│   │       └── ShiftReviewScreen.tsx # Shift sign-off &amp; dispute resolution</w:t>
              <w:br/>
              <w:t>│   ├── unified/</w:t>
              <w:br/>
              <w:t>│   │   └── UnifiedLoginScreen.tsx  # 4-tier unified login &amp; self-registration</w:t>
              <w:br/>
              <w:t>│   └── shared/</w:t>
              <w:br/>
              <w:t>│       └── ui/                     # Reusable design system primitives</w:t>
              <w:br/>
              <w:t>├── utils/</w:t>
              <w:br/>
              <w:t>│   ├── currencyFormatter.ts        # GHS formatting &amp; date/time helpers</w:t>
              <w:br/>
              <w:t>│   └── exportUtils.ts              # Native CSV / XLSX data exporters</w:t>
              <w:br/>
              <w:t>├── App.tsx                         # Root router &amp; role-based view switcher</w:t>
              <w:br/>
              <w:t>└── main.tsx                        # React application bootstrap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Segoe UI" w:hAnsi="Segoe UI"/>
          <w:i/>
          <w:color w:val="1E293B"/>
          <w:sz w:val="20"/>
        </w:rPr>
        <w:t>End of System Architecture Design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&amp; Proprietary — PetroView Technologies Ltd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PetroView Forecourt OS — System Architecture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