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RESUMEN IIS891106AE6 2025-08</w:t>
      </w:r>
    </w:p>
    <w:p>
      <w:pPr>
        <w:spacing w:after="80"/>
      </w:pPr>
      <w:r>
        <w:t>Este resumen consolida los totales del mes con base en los archivos generados por R8 (CFDI y CFDI_PUE).</w:t>
      </w:r>
    </w:p>
    <w:p>
      <w:pPr>
        <w:pStyle w:val="Heading2"/>
      </w:pPr>
      <w:r>
        <w:t>RECIBIDAS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</w:tbl>
    <w:p>
      <w:r>
        <w:t>Fuente: No encontrado</w:t>
      </w:r>
    </w:p>
    <w:p>
      <w:pPr>
        <w:pStyle w:val="Heading2"/>
      </w:pPr>
      <w:r>
        <w:t>EMITIDAS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</w:tbl>
    <w:p>
      <w:r>
        <w:t>Fuente: No encontrado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