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SATISFACTION MEASUREMENT (CSM) REPORT</w:t>
      </w:r>
    </w:p>
    <w:p>
      <w:r>
        <w:t>Caraga State University</w:t>
      </w:r>
    </w:p>
    <w:p>
      <w:r>
        <w:t>Office: OSWE</w:t>
      </w:r>
    </w:p>
    <w:p>
      <w:r>
        <w:t>Reporting Period: June OSWE - External Clients</w:t>
      </w:r>
    </w:p>
    <w:p>
      <w:r>
        <w:t>Total Respondents: 1</w:t>
      </w:r>
    </w:p>
    <w:p>
      <w:r>
        <w:rPr>
          <w:b/>
          <w:sz w:val="24"/>
        </w:rPr>
        <w:t>Name of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Unblocking of Clearance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 / 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Client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Citizen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 / 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Sex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 / 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19 and below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20–34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35–49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50–64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65 or higher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Did not specify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 / 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Region of Residence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Region XIII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 / 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Citizen's Charter</w:t>
      </w:r>
    </w:p>
    <w:p>
      <w:pPr>
        <w:pStyle w:val="Heading2"/>
      </w:pPr>
      <w:r>
        <w:t>CC1</w:t>
      </w:r>
    </w:p>
    <w:p>
      <w:r>
        <w:rPr>
          <w:b/>
          <w:sz w:val="24"/>
        </w:rPr>
        <w:t>CC1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 / 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CC2</w:t>
      </w:r>
    </w:p>
    <w:p>
      <w:r>
        <w:rPr>
          <w:b/>
          <w:sz w:val="24"/>
        </w:rPr>
        <w:t>CC2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 / 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CC3</w:t>
      </w:r>
    </w:p>
    <w:p>
      <w:r>
        <w:rPr>
          <w:b/>
          <w:sz w:val="24"/>
        </w:rPr>
        <w:t>CC3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 / 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Service Quality Dimensions</w:t>
      </w:r>
    </w:p>
    <w:p>
      <w:pPr>
        <w:pStyle w:val="Heading2"/>
      </w:pPr>
      <w:r>
        <w:t>SQD0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 / 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 / 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 / 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 / 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 / 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 / 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 / 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 / 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 / 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