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SATISFACTION MEASUREMENT (CSM) REPORT</w:t>
      </w:r>
    </w:p>
    <w:p>
      <w:r>
        <w:t>Caraga State University</w:t>
      </w:r>
    </w:p>
    <w:p>
      <w:r>
        <w:t>Office: Registrar</w:t>
      </w:r>
    </w:p>
    <w:p>
      <w:r>
        <w:t>Reporting Period: Hunyo - Internal Clients</w:t>
      </w:r>
    </w:p>
    <w:p>
      <w:r>
        <w:t>Total Respondents: 86</w:t>
      </w:r>
    </w:p>
    <w:p>
      <w:r>
        <w:rPr>
          <w:b/>
          <w:sz w:val="24"/>
        </w:rPr>
        <w:t>Name of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Release of Academic Records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77.91%</w:t>
            </w:r>
          </w:p>
        </w:tc>
      </w:tr>
      <w:tr>
        <w:tc>
          <w:tcPr>
            <w:tcW w:type="dxa" w:w="2880"/>
          </w:tcPr>
          <w:p>
            <w:r>
              <w:t>Did not specify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22.09%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86 / 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Client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Did not specify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54.65%</w:t>
            </w:r>
          </w:p>
        </w:tc>
      </w:tr>
      <w:tr>
        <w:tc>
          <w:tcPr>
            <w:tcW w:type="dxa" w:w="2880"/>
          </w:tcPr>
          <w:p>
            <w:r>
              <w:t>Citizen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37.21%</w:t>
            </w:r>
          </w:p>
        </w:tc>
      </w:tr>
      <w:tr>
        <w:tc>
          <w:tcPr>
            <w:tcW w:type="dxa" w:w="2880"/>
          </w:tcPr>
          <w:p>
            <w:r>
              <w:t>Government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8.14%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86 / 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Sex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48.84%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27.91%</w:t>
            </w:r>
          </w:p>
        </w:tc>
      </w:tr>
      <w:tr>
        <w:tc>
          <w:tcPr>
            <w:tcW w:type="dxa" w:w="2880"/>
          </w:tcPr>
          <w:p>
            <w:r>
              <w:t>Did not specify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23.26%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86 / 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19 and below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5.81%</w:t>
            </w:r>
          </w:p>
        </w:tc>
      </w:tr>
      <w:tr>
        <w:tc>
          <w:tcPr>
            <w:tcW w:type="dxa" w:w="2880"/>
          </w:tcPr>
          <w:p>
            <w:r>
              <w:t>20–34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68.60%</w:t>
            </w:r>
          </w:p>
        </w:tc>
      </w:tr>
      <w:tr>
        <w:tc>
          <w:tcPr>
            <w:tcW w:type="dxa" w:w="2880"/>
          </w:tcPr>
          <w:p>
            <w:r>
              <w:t>35–49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50–64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65 or higher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Did not specify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25.58%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86 / 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Region of Residence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Did not specify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51.16%</w:t>
            </w:r>
          </w:p>
        </w:tc>
      </w:tr>
      <w:tr>
        <w:tc>
          <w:tcPr>
            <w:tcW w:type="dxa" w:w="2880"/>
          </w:tcPr>
          <w:p>
            <w:r>
              <w:t>Region XIII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47.67%</w:t>
            </w:r>
          </w:p>
        </w:tc>
      </w:tr>
      <w:tr>
        <w:tc>
          <w:tcPr>
            <w:tcW w:type="dxa" w:w="2880"/>
          </w:tcPr>
          <w:p>
            <w:r>
              <w:t>Region X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1.16%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86 / 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Citizen's Charter</w:t>
      </w:r>
    </w:p>
    <w:p>
      <w:pPr>
        <w:pStyle w:val="Heading2"/>
      </w:pPr>
      <w:r>
        <w:t>CC1</w:t>
      </w:r>
    </w:p>
    <w:p>
      <w:r>
        <w:rPr>
          <w:b/>
          <w:sz w:val="24"/>
        </w:rPr>
        <w:t>CC1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87.23%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4.26%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4.26%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4.26%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86 / 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CC2</w:t>
      </w:r>
    </w:p>
    <w:p>
      <w:r>
        <w:rPr>
          <w:b/>
          <w:sz w:val="24"/>
        </w:rPr>
        <w:t>CC2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83.33%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10.42%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4.17%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2.08%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86 / 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CC3</w:t>
      </w:r>
    </w:p>
    <w:p>
      <w:r>
        <w:rPr>
          <w:b/>
          <w:sz w:val="24"/>
        </w:rPr>
        <w:t>CC3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89.58%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4.17%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2.08%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4.17%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86 / 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Service Quality Dimensions</w:t>
      </w:r>
    </w:p>
    <w:p>
      <w:pPr>
        <w:pStyle w:val="Heading2"/>
      </w:pPr>
      <w:r>
        <w:t>SQD0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70.93%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25.58%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3.49%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96.51%</w:t>
            </w:r>
          </w:p>
        </w:tc>
        <w:tc>
          <w:tcPr>
            <w:tcW w:type="dxa" w:w="2880"/>
          </w:tcPr>
          <w:p>
            <w:r>
              <w:t>96.51%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86 / 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72.09%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23.26%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4.65%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95.35%</w:t>
            </w:r>
          </w:p>
        </w:tc>
        <w:tc>
          <w:tcPr>
            <w:tcW w:type="dxa" w:w="2880"/>
          </w:tcPr>
          <w:p>
            <w:r>
              <w:t>95.35%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86 / 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70.93%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25.58%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3.49%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96.51%</w:t>
            </w:r>
          </w:p>
        </w:tc>
        <w:tc>
          <w:tcPr>
            <w:tcW w:type="dxa" w:w="2880"/>
          </w:tcPr>
          <w:p>
            <w:r>
              <w:t>96.51%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86 / 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69.77%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27.91%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2.33%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97.67%</w:t>
            </w:r>
          </w:p>
        </w:tc>
        <w:tc>
          <w:tcPr>
            <w:tcW w:type="dxa" w:w="2880"/>
          </w:tcPr>
          <w:p>
            <w:r>
              <w:t>97.67%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86 / 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72.09%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24.42%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3.49%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96.51%</w:t>
            </w:r>
          </w:p>
        </w:tc>
        <w:tc>
          <w:tcPr>
            <w:tcW w:type="dxa" w:w="2880"/>
          </w:tcPr>
          <w:p>
            <w:r>
              <w:t>96.51%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86 / 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67.44%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25.58%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2.33%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4.65%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97.56%</w:t>
            </w:r>
          </w:p>
        </w:tc>
        <w:tc>
          <w:tcPr>
            <w:tcW w:type="dxa" w:w="2880"/>
          </w:tcPr>
          <w:p>
            <w:r>
              <w:t>97.56%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86 / 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75.58%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22.09%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2.33%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97.67%</w:t>
            </w:r>
          </w:p>
        </w:tc>
        <w:tc>
          <w:tcPr>
            <w:tcW w:type="dxa" w:w="2880"/>
          </w:tcPr>
          <w:p>
            <w:r>
              <w:t>97.67%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86 / 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73.26%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24.42%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2.33%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97.67%</w:t>
            </w:r>
          </w:p>
        </w:tc>
        <w:tc>
          <w:tcPr>
            <w:tcW w:type="dxa" w:w="2880"/>
          </w:tcPr>
          <w:p>
            <w:r>
              <w:t>97.67%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86 / 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73.26%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24.42%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2.33%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97.67%</w:t>
            </w:r>
          </w:p>
        </w:tc>
        <w:tc>
          <w:tcPr>
            <w:tcW w:type="dxa" w:w="2880"/>
          </w:tcPr>
          <w:p>
            <w:r>
              <w:t>97.67%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86 / 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