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SATISFACTION MEASUREMENT (CSM) REPORT</w:t>
      </w:r>
    </w:p>
    <w:p>
      <w:r>
        <w:t>Caraga State University</w:t>
      </w:r>
    </w:p>
    <w:p>
      <w:r>
        <w:t>Office: OUR Office</w:t>
      </w:r>
    </w:p>
    <w:p>
      <w:r>
        <w:t>Reporting Period: June - Internal Clients</w:t>
      </w:r>
    </w:p>
    <w:p>
      <w:r>
        <w:t>Total Respondents: 86</w:t>
      </w:r>
    </w:p>
    <w:p>
      <w:r>
        <w:rPr>
          <w:b/>
          <w:sz w:val="24"/>
        </w:rPr>
        <w:t>Name of 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Release of Academic Records</w:t>
            </w:r>
          </w:p>
        </w:tc>
        <w:tc>
          <w:tcPr>
            <w:tcW w:type="dxa" w:w="2880"/>
          </w:tcPr>
          <w:p>
            <w:r>
              <w:t>67</w:t>
            </w:r>
          </w:p>
        </w:tc>
        <w:tc>
          <w:tcPr>
            <w:tcW w:type="dxa" w:w="2880"/>
          </w:tcPr>
          <w:p>
            <w:r>
              <w:t>77.91%</w:t>
            </w:r>
          </w:p>
        </w:tc>
      </w:tr>
      <w:tr>
        <w:tc>
          <w:tcPr>
            <w:tcW w:type="dxa" w:w="2880"/>
          </w:tcPr>
          <w:p>
            <w:r>
              <w:t>Did not specify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22.09%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Client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Did not specify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54.65%</w:t>
            </w:r>
          </w:p>
        </w:tc>
      </w:tr>
      <w:tr>
        <w:tc>
          <w:tcPr>
            <w:tcW w:type="dxa" w:w="2880"/>
          </w:tcPr>
          <w:p>
            <w:r>
              <w:t>Citizen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37.21%</w:t>
            </w:r>
          </w:p>
        </w:tc>
      </w:tr>
      <w:tr>
        <w:tc>
          <w:tcPr>
            <w:tcW w:type="dxa" w:w="2880"/>
          </w:tcPr>
          <w:p>
            <w:r>
              <w:t>Government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8.14%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Sex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48.84%</w:t>
            </w:r>
          </w:p>
        </w:tc>
      </w:tr>
      <w:tr>
        <w:tc>
          <w:tcPr>
            <w:tcW w:type="dxa" w:w="2880"/>
          </w:tcPr>
          <w:p>
            <w:r>
              <w:t>M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27.91%</w:t>
            </w:r>
          </w:p>
        </w:tc>
      </w:tr>
      <w:tr>
        <w:tc>
          <w:tcPr>
            <w:tcW w:type="dxa" w:w="2880"/>
          </w:tcPr>
          <w:p>
            <w:r>
              <w:t>Did not specify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23.26%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19 and below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5.81%</w:t>
            </w:r>
          </w:p>
        </w:tc>
      </w:tr>
      <w:tr>
        <w:tc>
          <w:tcPr>
            <w:tcW w:type="dxa" w:w="2880"/>
          </w:tcPr>
          <w:p>
            <w:r>
              <w:t>20–34</w:t>
            </w:r>
          </w:p>
        </w:tc>
        <w:tc>
          <w:tcPr>
            <w:tcW w:type="dxa" w:w="2880"/>
          </w:tcPr>
          <w:p>
            <w:r>
              <w:t>59</w:t>
            </w:r>
          </w:p>
        </w:tc>
        <w:tc>
          <w:tcPr>
            <w:tcW w:type="dxa" w:w="2880"/>
          </w:tcPr>
          <w:p>
            <w:r>
              <w:t>68.60%</w:t>
            </w:r>
          </w:p>
        </w:tc>
      </w:tr>
      <w:tr>
        <w:tc>
          <w:tcPr>
            <w:tcW w:type="dxa" w:w="2880"/>
          </w:tcPr>
          <w:p>
            <w:r>
              <w:t>35–49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50–64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65 or higher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Did not specify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25.58%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rPr>
          <w:b/>
          <w:sz w:val="24"/>
        </w:rPr>
        <w:t>Region of Residence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Did not specify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51.16%</w:t>
            </w:r>
          </w:p>
        </w:tc>
      </w:tr>
      <w:tr>
        <w:tc>
          <w:tcPr>
            <w:tcW w:type="dxa" w:w="2880"/>
          </w:tcPr>
          <w:p>
            <w:r>
              <w:t>Region XIII</w:t>
            </w:r>
          </w:p>
        </w:tc>
        <w:tc>
          <w:tcPr>
            <w:tcW w:type="dxa" w:w="2880"/>
          </w:tcPr>
          <w:p>
            <w:r>
              <w:t>41</w:t>
            </w:r>
          </w:p>
        </w:tc>
        <w:tc>
          <w:tcPr>
            <w:tcW w:type="dxa" w:w="2880"/>
          </w:tcPr>
          <w:p>
            <w:r>
              <w:t>47.67%</w:t>
            </w:r>
          </w:p>
        </w:tc>
      </w:tr>
      <w:tr>
        <w:tc>
          <w:tcPr>
            <w:tcW w:type="dxa" w:w="2880"/>
          </w:tcPr>
          <w:p>
            <w:r>
              <w:t>Region 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1.16%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1"/>
      </w:pPr>
      <w:r>
        <w:t>Citizen's Charter</w:t>
      </w:r>
    </w:p>
    <w:p>
      <w:pPr>
        <w:pStyle w:val="Heading2"/>
      </w:pPr>
      <w:r>
        <w:t>CC1</w:t>
      </w:r>
    </w:p>
    <w:p>
      <w:r>
        <w:rPr>
          <w:b/>
          <w:sz w:val="24"/>
        </w:rPr>
        <w:t>CC1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41</w:t>
            </w:r>
          </w:p>
        </w:tc>
        <w:tc>
          <w:tcPr>
            <w:tcW w:type="dxa" w:w="2880"/>
          </w:tcPr>
          <w:p>
            <w:r>
              <w:t>87.23%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4.26%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4.26%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4.26%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TOTAL RESPONSES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VALID RESPONSES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CC2</w:t>
      </w:r>
    </w:p>
    <w:p>
      <w:r>
        <w:rPr>
          <w:b/>
          <w:sz w:val="24"/>
        </w:rPr>
        <w:t>CC2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83.33%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10.42%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4.17%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2.08%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38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TOTAL RESPONSES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VALID RESPONSES</w:t>
            </w:r>
          </w:p>
        </w:tc>
        <w:tc>
          <w:tcPr>
            <w:tcW w:type="dxa" w:w="2880"/>
          </w:tcPr>
          <w:p>
            <w:r>
              <w:t>48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CC3</w:t>
      </w:r>
    </w:p>
    <w:p>
      <w:r>
        <w:rPr>
          <w:b/>
          <w:sz w:val="24"/>
        </w:rPr>
        <w:t>CC3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43</w:t>
            </w:r>
          </w:p>
        </w:tc>
        <w:tc>
          <w:tcPr>
            <w:tcW w:type="dxa" w:w="2880"/>
          </w:tcPr>
          <w:p>
            <w:r>
              <w:t>89.58%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4.17%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2.08%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4.17%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38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TOTAL RESPONSES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VALID RESPONSES</w:t>
            </w:r>
          </w:p>
        </w:tc>
        <w:tc>
          <w:tcPr>
            <w:tcW w:type="dxa" w:w="2880"/>
          </w:tcPr>
          <w:p>
            <w:r>
              <w:t>48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1"/>
      </w:pPr>
      <w:r>
        <w:t>Service Quality Dimensions</w:t>
      </w:r>
    </w:p>
    <w:p>
      <w:pPr>
        <w:pStyle w:val="Heading2"/>
      </w:pPr>
      <w:r>
        <w:t>SQD0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61</w:t>
            </w:r>
          </w:p>
        </w:tc>
        <w:tc>
          <w:tcPr>
            <w:tcW w:type="dxa" w:w="2880"/>
          </w:tcPr>
          <w:p>
            <w:r>
              <w:t>70.93%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25.58%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3.49%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96.51%</w:t>
            </w:r>
          </w:p>
        </w:tc>
        <w:tc>
          <w:tcPr>
            <w:tcW w:type="dxa" w:w="2880"/>
          </w:tcPr>
          <w:p>
            <w:r>
              <w:t>96.51%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t>72.09%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23.26%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4.65%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95.35%</w:t>
            </w:r>
          </w:p>
        </w:tc>
        <w:tc>
          <w:tcPr>
            <w:tcW w:type="dxa" w:w="2880"/>
          </w:tcPr>
          <w:p>
            <w:r>
              <w:t>95.35%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61</w:t>
            </w:r>
          </w:p>
        </w:tc>
        <w:tc>
          <w:tcPr>
            <w:tcW w:type="dxa" w:w="2880"/>
          </w:tcPr>
          <w:p>
            <w:r>
              <w:t>70.93%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25.58%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3.49%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96.51%</w:t>
            </w:r>
          </w:p>
        </w:tc>
        <w:tc>
          <w:tcPr>
            <w:tcW w:type="dxa" w:w="2880"/>
          </w:tcPr>
          <w:p>
            <w:r>
              <w:t>96.51%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69.77%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27.91%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2.33%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62</w:t>
            </w:r>
          </w:p>
        </w:tc>
        <w:tc>
          <w:tcPr>
            <w:tcW w:type="dxa" w:w="2880"/>
          </w:tcPr>
          <w:p>
            <w:r>
              <w:t>72.09%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24.42%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3.49%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96.51%</w:t>
            </w:r>
          </w:p>
        </w:tc>
        <w:tc>
          <w:tcPr>
            <w:tcW w:type="dxa" w:w="2880"/>
          </w:tcPr>
          <w:p>
            <w:r>
              <w:t>96.51%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67.44%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25.58%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2.33%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4.65%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97.56%</w:t>
            </w:r>
          </w:p>
        </w:tc>
        <w:tc>
          <w:tcPr>
            <w:tcW w:type="dxa" w:w="2880"/>
          </w:tcPr>
          <w:p>
            <w:r>
              <w:t>97.56%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65</w:t>
            </w:r>
          </w:p>
        </w:tc>
        <w:tc>
          <w:tcPr>
            <w:tcW w:type="dxa" w:w="2880"/>
          </w:tcPr>
          <w:p>
            <w:r>
              <w:t>75.58%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22.09%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2.33%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73.26%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24.42%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2.33%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pPr>
        <w:pStyle w:val="Heading2"/>
      </w:pPr>
      <w:r>
        <w:t>SQD8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Frequency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5 - Very Satisfactory</w:t>
            </w:r>
          </w:p>
        </w:tc>
        <w:tc>
          <w:tcPr>
            <w:tcW w:type="dxa" w:w="2880"/>
          </w:tcPr>
          <w:p>
            <w:r>
              <w:t>63</w:t>
            </w:r>
          </w:p>
        </w:tc>
        <w:tc>
          <w:tcPr>
            <w:tcW w:type="dxa" w:w="2880"/>
          </w:tcPr>
          <w:p>
            <w:r>
              <w:t>73.26%</w:t>
            </w:r>
          </w:p>
        </w:tc>
      </w:tr>
      <w:tr>
        <w:tc>
          <w:tcPr>
            <w:tcW w:type="dxa" w:w="2880"/>
          </w:tcPr>
          <w:p>
            <w:r>
              <w:t>4 - Satisfactory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24.42%</w:t>
            </w:r>
          </w:p>
        </w:tc>
      </w:tr>
      <w:tr>
        <w:tc>
          <w:tcPr>
            <w:tcW w:type="dxa" w:w="2880"/>
          </w:tcPr>
          <w:p>
            <w:r>
              <w:t>3 - Neither Satisfactory Nor Dissatisfactory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2.33%</w:t>
            </w:r>
          </w:p>
        </w:tc>
      </w:tr>
      <w:tr>
        <w:tc>
          <w:tcPr>
            <w:tcW w:type="dxa" w:w="2880"/>
          </w:tcPr>
          <w:p>
            <w:r>
              <w:t>2 -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1 - Very Dissatisfactory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N/A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TOTAL RESPONDENTS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t>100.00%</w:t>
            </w:r>
          </w:p>
        </w:tc>
      </w:tr>
      <w:tr>
        <w:tc>
          <w:tcPr>
            <w:tcW w:type="dxa" w:w="2880"/>
          </w:tcPr>
          <w:p>
            <w:r>
              <w:t>AVERAGE PERCENTAGE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  <w:tc>
          <w:tcPr>
            <w:tcW w:type="dxa" w:w="2880"/>
          </w:tcPr>
          <w:p>
            <w:r>
              <w:t>97.67%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Outstanding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TOTAL CHECK</w:t>
            </w:r>
          </w:p>
        </w:tc>
        <w:tc>
          <w:tcPr>
            <w:tcW w:type="dxa" w:w="2880"/>
          </w:tcPr>
          <w:p>
            <w:r>
              <w:t>86 / 86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