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OSWE</w:t>
      </w:r>
    </w:p>
    <w:p>
      <w:r>
        <w:t>Reporting Period: June OSWE - Internal Clients</w:t>
      </w:r>
    </w:p>
    <w:p>
      <w:r>
        <w:t>Total Respondents: 128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Unblocking of Clearance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69.53%</w:t>
            </w:r>
          </w:p>
        </w:tc>
      </w:tr>
      <w:tr>
        <w:tc>
          <w:tcPr>
            <w:tcW w:type="dxa" w:w="2880"/>
          </w:tcPr>
          <w:p>
            <w:r>
              <w:t>Processing Complaints :Disciplinary Intervention/Interview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10.16%</w:t>
            </w:r>
          </w:p>
        </w:tc>
      </w:tr>
      <w:tr>
        <w:tc>
          <w:tcPr>
            <w:tcW w:type="dxa" w:w="2880"/>
          </w:tcPr>
          <w:p>
            <w:r>
              <w:t>Gents Dormitory Mngt: Concern/Unblocking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8.59%</w:t>
            </w:r>
          </w:p>
        </w:tc>
      </w:tr>
      <w:tr>
        <w:tc>
          <w:tcPr>
            <w:tcW w:type="dxa" w:w="2880"/>
          </w:tcPr>
          <w:p>
            <w:r>
              <w:t>Claiming of insurance benefit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4.69%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3.91%</w:t>
            </w:r>
          </w:p>
        </w:tc>
      </w:tr>
      <w:tr>
        <w:tc>
          <w:tcPr>
            <w:tcW w:type="dxa" w:w="2880"/>
          </w:tcPr>
          <w:p>
            <w:r>
              <w:t>Others: Students assistance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1.56%</w:t>
            </w:r>
          </w:p>
        </w:tc>
      </w:tr>
      <w:tr>
        <w:tc>
          <w:tcPr>
            <w:tcW w:type="dxa" w:w="2880"/>
          </w:tcPr>
          <w:p>
            <w:r>
              <w:t>Gents Dormitory Mgmt.: Application &amp; Interview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1.56%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Citizen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74.22%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25.00%</w:t>
            </w:r>
          </w:p>
        </w:tc>
      </w:tr>
      <w:tr>
        <w:tc>
          <w:tcPr>
            <w:tcW w:type="dxa" w:w="2880"/>
          </w:tcPr>
          <w:p>
            <w:r>
              <w:t>Government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44.53%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41.41%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14.06%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35.94%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49.22%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14.84%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Region XIII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70.31%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29.69%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66.07%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5.36%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12.50%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16.07%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60.71%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26.79%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1.79%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10.71%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73.21%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12.50%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14.29%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71.09%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28.12%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67.97%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28.12%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3.12%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96.85%</w:t>
            </w:r>
          </w:p>
        </w:tc>
        <w:tc>
          <w:tcPr>
            <w:tcW w:type="dxa" w:w="2880"/>
          </w:tcPr>
          <w:p>
            <w:r>
              <w:t>96.85%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75.78%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22.66%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99.21%</w:t>
            </w:r>
          </w:p>
        </w:tc>
        <w:tc>
          <w:tcPr>
            <w:tcW w:type="dxa" w:w="2880"/>
          </w:tcPr>
          <w:p>
            <w:r>
              <w:t>99.21%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70.31%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26.56%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1.56%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1.56%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98.41%</w:t>
            </w:r>
          </w:p>
        </w:tc>
        <w:tc>
          <w:tcPr>
            <w:tcW w:type="dxa" w:w="2880"/>
          </w:tcPr>
          <w:p>
            <w:r>
              <w:t>98.41%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75.00%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24.22%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78.91%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18.75%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1.56%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98.43%</w:t>
            </w:r>
          </w:p>
        </w:tc>
        <w:tc>
          <w:tcPr>
            <w:tcW w:type="dxa" w:w="2880"/>
          </w:tcPr>
          <w:p>
            <w:r>
              <w:t>98.43%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80.47%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17.97%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99.21%</w:t>
            </w:r>
          </w:p>
        </w:tc>
        <w:tc>
          <w:tcPr>
            <w:tcW w:type="dxa" w:w="2880"/>
          </w:tcPr>
          <w:p>
            <w:r>
              <w:t>99.21%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78.12%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20.31%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0.78%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99.21%</w:t>
            </w:r>
          </w:p>
        </w:tc>
        <w:tc>
          <w:tcPr>
            <w:tcW w:type="dxa" w:w="2880"/>
          </w:tcPr>
          <w:p>
            <w:r>
              <w:t>99.21%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128 / 128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