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SATISFACTION MEASUREMENT (CSM) REPORT</w:t>
      </w:r>
    </w:p>
    <w:p>
      <w:r>
        <w:t>Caraga State University</w:t>
      </w:r>
    </w:p>
    <w:p>
      <w:r>
        <w:t>Office: OVPSAS</w:t>
      </w:r>
    </w:p>
    <w:p>
      <w:r>
        <w:t>Reporting Period: June OVPSAS - Internal Clients</w:t>
      </w:r>
    </w:p>
    <w:p>
      <w:r>
        <w:t>Total Respondents: 1086</w:t>
      </w:r>
    </w:p>
    <w:p>
      <w:r>
        <w:rPr>
          <w:b/>
          <w:sz w:val="24"/>
        </w:rPr>
        <w:t>Name of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Unblocking of Clearance</w:t>
            </w:r>
          </w:p>
        </w:tc>
        <w:tc>
          <w:tcPr>
            <w:tcW w:type="dxa" w:w="2880"/>
          </w:tcPr>
          <w:p>
            <w:r>
              <w:t>536</w:t>
            </w:r>
          </w:p>
        </w:tc>
        <w:tc>
          <w:tcPr>
            <w:tcW w:type="dxa" w:w="2880"/>
          </w:tcPr>
          <w:p>
            <w:r>
              <w:t>49.36%</w:t>
            </w:r>
          </w:p>
        </w:tc>
      </w:tr>
      <w:tr>
        <w:tc>
          <w:tcPr>
            <w:tcW w:type="dxa" w:w="2880"/>
          </w:tcPr>
          <w:p>
            <w:r>
              <w:t>Issuance of Certificate of Good Moral Character</w:t>
            </w:r>
          </w:p>
        </w:tc>
        <w:tc>
          <w:tcPr>
            <w:tcW w:type="dxa" w:w="2880"/>
          </w:tcPr>
          <w:p>
            <w:r>
              <w:t>509</w:t>
            </w:r>
          </w:p>
        </w:tc>
        <w:tc>
          <w:tcPr>
            <w:tcW w:type="dxa" w:w="2880"/>
          </w:tcPr>
          <w:p>
            <w:r>
              <w:t>46.87%</w:t>
            </w:r>
          </w:p>
        </w:tc>
      </w:tr>
      <w:tr>
        <w:tc>
          <w:tcPr>
            <w:tcW w:type="dxa" w:w="2880"/>
          </w:tcPr>
          <w:p>
            <w:r>
              <w:t>ID application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2.21%</w:t>
            </w:r>
          </w:p>
        </w:tc>
      </w:tr>
      <w:tr>
        <w:tc>
          <w:tcPr>
            <w:tcW w:type="dxa" w:w="2880"/>
          </w:tcPr>
          <w:p>
            <w:r>
              <w:t>ID Validation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1.20%</w:t>
            </w:r>
          </w:p>
        </w:tc>
      </w:tr>
      <w:tr>
        <w:tc>
          <w:tcPr>
            <w:tcW w:type="dxa" w:w="2880"/>
          </w:tcPr>
          <w:p>
            <w:r>
              <w:t>Insurance Claim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0.37%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1086 / 1086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Client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Citizen</w:t>
            </w:r>
          </w:p>
        </w:tc>
        <w:tc>
          <w:tcPr>
            <w:tcW w:type="dxa" w:w="2880"/>
          </w:tcPr>
          <w:p>
            <w:r>
              <w:t>569</w:t>
            </w:r>
          </w:p>
        </w:tc>
        <w:tc>
          <w:tcPr>
            <w:tcW w:type="dxa" w:w="2880"/>
          </w:tcPr>
          <w:p>
            <w:r>
              <w:t>52.39%</w:t>
            </w:r>
          </w:p>
        </w:tc>
      </w:tr>
      <w:tr>
        <w:tc>
          <w:tcPr>
            <w:tcW w:type="dxa" w:w="2880"/>
          </w:tcPr>
          <w:p>
            <w:r>
              <w:t>Did not specify</w:t>
            </w:r>
          </w:p>
        </w:tc>
        <w:tc>
          <w:tcPr>
            <w:tcW w:type="dxa" w:w="2880"/>
          </w:tcPr>
          <w:p>
            <w:r>
              <w:t>488</w:t>
            </w:r>
          </w:p>
        </w:tc>
        <w:tc>
          <w:tcPr>
            <w:tcW w:type="dxa" w:w="2880"/>
          </w:tcPr>
          <w:p>
            <w:r>
              <w:t>44.94%</w:t>
            </w:r>
          </w:p>
        </w:tc>
      </w:tr>
      <w:tr>
        <w:tc>
          <w:tcPr>
            <w:tcW w:type="dxa" w:w="2880"/>
          </w:tcPr>
          <w:p>
            <w:r>
              <w:t>Government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2.67%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1086 / 1086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Sex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497</w:t>
            </w:r>
          </w:p>
        </w:tc>
        <w:tc>
          <w:tcPr>
            <w:tcW w:type="dxa" w:w="2880"/>
          </w:tcPr>
          <w:p>
            <w:r>
              <w:t>45.76%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388</w:t>
            </w:r>
          </w:p>
        </w:tc>
        <w:tc>
          <w:tcPr>
            <w:tcW w:type="dxa" w:w="2880"/>
          </w:tcPr>
          <w:p>
            <w:r>
              <w:t>35.73%</w:t>
            </w:r>
          </w:p>
        </w:tc>
      </w:tr>
      <w:tr>
        <w:tc>
          <w:tcPr>
            <w:tcW w:type="dxa" w:w="2880"/>
          </w:tcPr>
          <w:p>
            <w:r>
              <w:t>Did not specify</w:t>
            </w:r>
          </w:p>
        </w:tc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18.51%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1086 / 1086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19 and below</w:t>
            </w:r>
          </w:p>
        </w:tc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23.11%</w:t>
            </w:r>
          </w:p>
        </w:tc>
      </w:tr>
      <w:tr>
        <w:tc>
          <w:tcPr>
            <w:tcW w:type="dxa" w:w="2880"/>
          </w:tcPr>
          <w:p>
            <w:r>
              <w:t>20–34</w:t>
            </w:r>
          </w:p>
        </w:tc>
        <w:tc>
          <w:tcPr>
            <w:tcW w:type="dxa" w:w="2880"/>
          </w:tcPr>
          <w:p>
            <w:r>
              <w:t>633</w:t>
            </w:r>
          </w:p>
        </w:tc>
        <w:tc>
          <w:tcPr>
            <w:tcW w:type="dxa" w:w="2880"/>
          </w:tcPr>
          <w:p>
            <w:r>
              <w:t>58.29%</w:t>
            </w:r>
          </w:p>
        </w:tc>
      </w:tr>
      <w:tr>
        <w:tc>
          <w:tcPr>
            <w:tcW w:type="dxa" w:w="2880"/>
          </w:tcPr>
          <w:p>
            <w:r>
              <w:t>35–49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1.10%</w:t>
            </w:r>
          </w:p>
        </w:tc>
      </w:tr>
      <w:tr>
        <w:tc>
          <w:tcPr>
            <w:tcW w:type="dxa" w:w="2880"/>
          </w:tcPr>
          <w:p>
            <w:r>
              <w:t>50–64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0.37%</w:t>
            </w:r>
          </w:p>
        </w:tc>
      </w:tr>
      <w:tr>
        <w:tc>
          <w:tcPr>
            <w:tcW w:type="dxa" w:w="2880"/>
          </w:tcPr>
          <w:p>
            <w:r>
              <w:t>65 or higher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0.09%</w:t>
            </w:r>
          </w:p>
        </w:tc>
      </w:tr>
      <w:tr>
        <w:tc>
          <w:tcPr>
            <w:tcW w:type="dxa" w:w="2880"/>
          </w:tcPr>
          <w:p>
            <w:r>
              <w:t>Did not specify</w:t>
            </w:r>
          </w:p>
        </w:tc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17.03%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1086 / 1086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Region of Residence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Did not specify</w:t>
            </w:r>
          </w:p>
        </w:tc>
        <w:tc>
          <w:tcPr>
            <w:tcW w:type="dxa" w:w="2880"/>
          </w:tcPr>
          <w:p>
            <w:r>
              <w:t>761</w:t>
            </w:r>
          </w:p>
        </w:tc>
        <w:tc>
          <w:tcPr>
            <w:tcW w:type="dxa" w:w="2880"/>
          </w:tcPr>
          <w:p>
            <w:r>
              <w:t>70.07%</w:t>
            </w:r>
          </w:p>
        </w:tc>
      </w:tr>
      <w:tr>
        <w:tc>
          <w:tcPr>
            <w:tcW w:type="dxa" w:w="2880"/>
          </w:tcPr>
          <w:p>
            <w:r>
              <w:t>Region XIII</w:t>
            </w:r>
          </w:p>
        </w:tc>
        <w:tc>
          <w:tcPr>
            <w:tcW w:type="dxa" w:w="2880"/>
          </w:tcPr>
          <w:p>
            <w:r>
              <w:t>325</w:t>
            </w:r>
          </w:p>
        </w:tc>
        <w:tc>
          <w:tcPr>
            <w:tcW w:type="dxa" w:w="2880"/>
          </w:tcPr>
          <w:p>
            <w:r>
              <w:t>29.93%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1086 / 1086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Citizen's Charter</w:t>
      </w:r>
    </w:p>
    <w:p>
      <w:pPr>
        <w:pStyle w:val="Heading2"/>
      </w:pPr>
      <w:r>
        <w:t>CC1</w:t>
      </w:r>
    </w:p>
    <w:p>
      <w:r>
        <w:rPr>
          <w:b/>
          <w:sz w:val="24"/>
        </w:rPr>
        <w:t>CC1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489</w:t>
            </w:r>
          </w:p>
        </w:tc>
        <w:tc>
          <w:tcPr>
            <w:tcW w:type="dxa" w:w="2880"/>
          </w:tcPr>
          <w:p>
            <w:r>
              <w:t>80.96%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5.13%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8.11%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5.79%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482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604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1086 / 1086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CC2</w:t>
      </w:r>
    </w:p>
    <w:p>
      <w:r>
        <w:rPr>
          <w:b/>
          <w:sz w:val="24"/>
        </w:rPr>
        <w:t>CC2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424</w:t>
            </w:r>
          </w:p>
        </w:tc>
        <w:tc>
          <w:tcPr>
            <w:tcW w:type="dxa" w:w="2880"/>
          </w:tcPr>
          <w:p>
            <w:r>
              <w:t>70.08%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20.66%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2.48%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1.65%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5.12%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481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605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1086 / 1086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CC3</w:t>
      </w:r>
    </w:p>
    <w:p>
      <w:r>
        <w:rPr>
          <w:b/>
          <w:sz w:val="24"/>
        </w:rPr>
        <w:t>CC3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483</w:t>
            </w:r>
          </w:p>
        </w:tc>
        <w:tc>
          <w:tcPr>
            <w:tcW w:type="dxa" w:w="2880"/>
          </w:tcPr>
          <w:p>
            <w:r>
              <w:t>79.83%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12.40%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0.83%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6.94%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481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605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1086 / 1086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Service Quality Dimensions</w:t>
      </w:r>
    </w:p>
    <w:p>
      <w:pPr>
        <w:pStyle w:val="Heading2"/>
      </w:pPr>
      <w:r>
        <w:t>SQD0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735</w:t>
            </w:r>
          </w:p>
        </w:tc>
        <w:tc>
          <w:tcPr>
            <w:tcW w:type="dxa" w:w="2880"/>
          </w:tcPr>
          <w:p>
            <w:r>
              <w:t>67.68%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340</w:t>
            </w:r>
          </w:p>
        </w:tc>
        <w:tc>
          <w:tcPr>
            <w:tcW w:type="dxa" w:w="2880"/>
          </w:tcPr>
          <w:p>
            <w:r>
              <w:t>31.31%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1.01%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98.99%</w:t>
            </w:r>
          </w:p>
        </w:tc>
        <w:tc>
          <w:tcPr>
            <w:tcW w:type="dxa" w:w="2880"/>
          </w:tcPr>
          <w:p>
            <w:r>
              <w:t>98.99%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1086 / 1086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742</w:t>
            </w:r>
          </w:p>
        </w:tc>
        <w:tc>
          <w:tcPr>
            <w:tcW w:type="dxa" w:w="2880"/>
          </w:tcPr>
          <w:p>
            <w:r>
              <w:t>68.32%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327</w:t>
            </w:r>
          </w:p>
        </w:tc>
        <w:tc>
          <w:tcPr>
            <w:tcW w:type="dxa" w:w="2880"/>
          </w:tcPr>
          <w:p>
            <w:r>
              <w:t>30.11%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1.57%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98.43%</w:t>
            </w:r>
          </w:p>
        </w:tc>
        <w:tc>
          <w:tcPr>
            <w:tcW w:type="dxa" w:w="2880"/>
          </w:tcPr>
          <w:p>
            <w:r>
              <w:t>98.43%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1086 / 1086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768</w:t>
            </w:r>
          </w:p>
        </w:tc>
        <w:tc>
          <w:tcPr>
            <w:tcW w:type="dxa" w:w="2880"/>
          </w:tcPr>
          <w:p>
            <w:r>
              <w:t>70.72%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305</w:t>
            </w:r>
          </w:p>
        </w:tc>
        <w:tc>
          <w:tcPr>
            <w:tcW w:type="dxa" w:w="2880"/>
          </w:tcPr>
          <w:p>
            <w:r>
              <w:t>28.08%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1.10%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0.09%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98.80%</w:t>
            </w:r>
          </w:p>
        </w:tc>
        <w:tc>
          <w:tcPr>
            <w:tcW w:type="dxa" w:w="2880"/>
          </w:tcPr>
          <w:p>
            <w:r>
              <w:t>98.80%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1086 / 1086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753</w:t>
            </w:r>
          </w:p>
        </w:tc>
        <w:tc>
          <w:tcPr>
            <w:tcW w:type="dxa" w:w="2880"/>
          </w:tcPr>
          <w:p>
            <w:r>
              <w:t>69.34%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317</w:t>
            </w:r>
          </w:p>
        </w:tc>
        <w:tc>
          <w:tcPr>
            <w:tcW w:type="dxa" w:w="2880"/>
          </w:tcPr>
          <w:p>
            <w:r>
              <w:t>29.19%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1.47%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98.53%</w:t>
            </w:r>
          </w:p>
        </w:tc>
        <w:tc>
          <w:tcPr>
            <w:tcW w:type="dxa" w:w="2880"/>
          </w:tcPr>
          <w:p>
            <w:r>
              <w:t>98.53%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1086 / 1086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749</w:t>
            </w:r>
          </w:p>
        </w:tc>
        <w:tc>
          <w:tcPr>
            <w:tcW w:type="dxa" w:w="2880"/>
          </w:tcPr>
          <w:p>
            <w:r>
              <w:t>68.97%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321</w:t>
            </w:r>
          </w:p>
        </w:tc>
        <w:tc>
          <w:tcPr>
            <w:tcW w:type="dxa" w:w="2880"/>
          </w:tcPr>
          <w:p>
            <w:r>
              <w:t>29.56%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1.47%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98.53%</w:t>
            </w:r>
          </w:p>
        </w:tc>
        <w:tc>
          <w:tcPr>
            <w:tcW w:type="dxa" w:w="2880"/>
          </w:tcPr>
          <w:p>
            <w:r>
              <w:t>98.53%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1086 / 1086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1086 / 1086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775</w:t>
            </w:r>
          </w:p>
        </w:tc>
        <w:tc>
          <w:tcPr>
            <w:tcW w:type="dxa" w:w="2880"/>
          </w:tcPr>
          <w:p>
            <w:r>
              <w:t>71.36%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26.98%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1.57%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0.09%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98.34%</w:t>
            </w:r>
          </w:p>
        </w:tc>
        <w:tc>
          <w:tcPr>
            <w:tcW w:type="dxa" w:w="2880"/>
          </w:tcPr>
          <w:p>
            <w:r>
              <w:t>98.34%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1086 / 1086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778</w:t>
            </w:r>
          </w:p>
        </w:tc>
        <w:tc>
          <w:tcPr>
            <w:tcW w:type="dxa" w:w="2880"/>
          </w:tcPr>
          <w:p>
            <w:r>
              <w:t>71.64%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27.35%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0.92%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0.09%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98.99%</w:t>
            </w:r>
          </w:p>
        </w:tc>
        <w:tc>
          <w:tcPr>
            <w:tcW w:type="dxa" w:w="2880"/>
          </w:tcPr>
          <w:p>
            <w:r>
              <w:t>98.99%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1086 / 1086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774</w:t>
            </w:r>
          </w:p>
        </w:tc>
        <w:tc>
          <w:tcPr>
            <w:tcW w:type="dxa" w:w="2880"/>
          </w:tcPr>
          <w:p>
            <w:r>
              <w:t>71.27%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301</w:t>
            </w:r>
          </w:p>
        </w:tc>
        <w:tc>
          <w:tcPr>
            <w:tcW w:type="dxa" w:w="2880"/>
          </w:tcPr>
          <w:p>
            <w:r>
              <w:t>27.72%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1.01%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98.99%</w:t>
            </w:r>
          </w:p>
        </w:tc>
        <w:tc>
          <w:tcPr>
            <w:tcW w:type="dxa" w:w="2880"/>
          </w:tcPr>
          <w:p>
            <w:r>
              <w:t>98.99%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1086 / 1086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