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0" w:right="0" w:firstLine="0"/>
        <w:rPr>
          <w:rFonts w:ascii="Times New Roman"/>
          <w:sz w:val="20"/>
        </w:rPr>
      </w:pPr>
      <w:r>
        <w:rPr>
          <w:rFonts w:ascii="Times New Roman"/>
          <w:sz w:val="20"/>
        </w:rPr>
        <w:drawing>
          <wp:inline distT="0" distB="0" distL="0" distR="0">
            <wp:extent cx="10653070" cy="749236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53070" cy="7492365"/>
                    </a:xfrm>
                    <a:prstGeom prst="rect">
                      <a:avLst/>
                    </a:prstGeom>
                  </pic:spPr>
                </pic:pic>
              </a:graphicData>
            </a:graphic>
          </wp:inline>
        </w:drawing>
      </w:r>
      <w:r>
        <w:rPr>
          <w:rFonts w:ascii="Times New Roman"/>
          <w:sz w:val="20"/>
        </w:rPr>
      </w:r>
    </w:p>
    <w:p>
      <w:pPr>
        <w:spacing w:after="0" w:line="240" w:lineRule="auto"/>
        <w:rPr>
          <w:rFonts w:ascii="Times New Roman"/>
          <w:sz w:val="20"/>
        </w:rPr>
        <w:sectPr>
          <w:type w:val="continuous"/>
          <w:pgSz w:w="16840" w:h="11910" w:orient="landscape"/>
          <w:pgMar w:top="20" w:bottom="0" w:left="0" w:right="0"/>
        </w:sectPr>
      </w:pPr>
    </w:p>
    <w:p>
      <w:pPr>
        <w:spacing w:line="240" w:lineRule="auto"/>
        <w:ind w:left="0" w:right="-15" w:firstLine="0"/>
        <w:rPr>
          <w:rFonts w:ascii="Times New Roman"/>
          <w:sz w:val="20"/>
        </w:rPr>
      </w:pPr>
      <w:r>
        <w:rPr>
          <w:rFonts w:ascii="Times New Roman"/>
          <w:sz w:val="20"/>
        </w:rPr>
        <mc:AlternateContent>
          <mc:Choice Requires="wps">
            <w:drawing>
              <wp:inline distT="0" distB="0" distL="0" distR="0">
                <wp:extent cx="10668000" cy="469900"/>
                <wp:effectExtent l="0" t="0" r="0" b="6350"/>
                <wp:docPr id="2" name="Group 2"/>
                <wp:cNvGraphicFramePr>
                  <a:graphicFrameLocks/>
                </wp:cNvGraphicFramePr>
                <a:graphic>
                  <a:graphicData uri="http://schemas.microsoft.com/office/word/2010/wordprocessingGroup">
                    <wpg:wgp>
                      <wpg:cNvPr id="2" name="Group 2"/>
                      <wpg:cNvGrpSpPr/>
                      <wpg:grpSpPr>
                        <a:xfrm>
                          <a:off x="0" y="0"/>
                          <a:ext cx="10668000" cy="469900"/>
                          <a:chExt cx="10668000" cy="469900"/>
                        </a:xfrm>
                      </wpg:grpSpPr>
                      <wps:wsp>
                        <wps:cNvPr id="3" name="Graphic 3"/>
                        <wps:cNvSpPr/>
                        <wps:spPr>
                          <a:xfrm>
                            <a:off x="0" y="0"/>
                            <a:ext cx="10668000" cy="469900"/>
                          </a:xfrm>
                          <a:custGeom>
                            <a:avLst/>
                            <a:gdLst/>
                            <a:ahLst/>
                            <a:cxnLst/>
                            <a:rect l="l" t="t" r="r" b="b"/>
                            <a:pathLst>
                              <a:path w="10668000" h="469900">
                                <a:moveTo>
                                  <a:pt x="10667885" y="0"/>
                                </a:moveTo>
                                <a:lnTo>
                                  <a:pt x="0" y="0"/>
                                </a:lnTo>
                                <a:lnTo>
                                  <a:pt x="0" y="469328"/>
                                </a:lnTo>
                                <a:lnTo>
                                  <a:pt x="10667885" y="469328"/>
                                </a:lnTo>
                                <a:lnTo>
                                  <a:pt x="10667885"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10668000" cy="469900"/>
                          </a:xfrm>
                          <a:prstGeom prst="rect">
                            <a:avLst/>
                          </a:prstGeom>
                        </wps:spPr>
                        <wps:txbx>
                          <w:txbxContent>
                            <w:p>
                              <w:pPr>
                                <w:spacing w:before="109"/>
                                <w:ind w:left="396" w:right="0" w:firstLine="0"/>
                                <w:jc w:val="left"/>
                                <w:rPr>
                                  <w:rFonts w:ascii="Arial Black"/>
                                  <w:sz w:val="32"/>
                                </w:rPr>
                              </w:pPr>
                              <w:r>
                                <w:rPr>
                                  <w:rFonts w:ascii="Arial Black"/>
                                  <w:color w:val="FFFFFF"/>
                                  <w:spacing w:val="-2"/>
                                  <w:sz w:val="32"/>
                                </w:rPr>
                                <w:t>INTRODUCTION</w:t>
                              </w:r>
                            </w:p>
                          </w:txbxContent>
                        </wps:txbx>
                        <wps:bodyPr wrap="square" lIns="0" tIns="0" rIns="0" bIns="0" rtlCol="0">
                          <a:noAutofit/>
                        </wps:bodyPr>
                      </wps:wsp>
                    </wpg:wgp>
                  </a:graphicData>
                </a:graphic>
              </wp:inline>
            </w:drawing>
          </mc:Choice>
          <mc:Fallback>
            <w:pict>
              <v:group style="width:840pt;height:37pt;mso-position-horizontal-relative:char;mso-position-vertical-relative:line" id="docshapegroup1" coordorigin="0,0" coordsize="16800,740">
                <v:rect style="position:absolute;left:0;top:0;width:16800;height:740" id="docshape2" filled="true" fillcolor="#000000" stroked="false">
                  <v:fill type="solid"/>
                </v:rect>
                <v:shapetype id="_x0000_t202" o:spt="202" coordsize="21600,21600" path="m,l,21600r21600,l21600,xe">
                  <v:stroke joinstyle="miter"/>
                  <v:path gradientshapeok="t" o:connecttype="rect"/>
                </v:shapetype>
                <v:shape style="position:absolute;left:0;top:0;width:16800;height:740" type="#_x0000_t202" id="docshape3" filled="false" stroked="false">
                  <v:textbox inset="0,0,0,0">
                    <w:txbxContent>
                      <w:p>
                        <w:pPr>
                          <w:spacing w:before="109"/>
                          <w:ind w:left="396" w:right="0" w:firstLine="0"/>
                          <w:jc w:val="left"/>
                          <w:rPr>
                            <w:rFonts w:ascii="Arial Black"/>
                            <w:sz w:val="32"/>
                          </w:rPr>
                        </w:pPr>
                        <w:r>
                          <w:rPr>
                            <w:rFonts w:ascii="Arial Black"/>
                            <w:color w:val="FFFFFF"/>
                            <w:spacing w:val="-2"/>
                            <w:sz w:val="32"/>
                          </w:rPr>
                          <w:t>INTRODUCTION</w:t>
                        </w:r>
                      </w:p>
                    </w:txbxContent>
                  </v:textbox>
                  <w10:wrap type="none"/>
                </v:shape>
              </v:group>
            </w:pict>
          </mc:Fallback>
        </mc:AlternateContent>
      </w:r>
      <w:r>
        <w:rPr>
          <w:rFonts w:ascii="Times New Roman"/>
          <w:sz w:val="20"/>
        </w:rPr>
      </w:r>
    </w:p>
    <w:p>
      <w:pPr>
        <w:pStyle w:val="Heading2"/>
        <w:spacing w:before="158"/>
        <w:ind w:left="386"/>
        <w:rPr>
          <w:rFonts w:ascii="Arial"/>
        </w:rPr>
      </w:pPr>
      <w:r>
        <w:rPr>
          <w:rFonts w:ascii="Arial"/>
        </w:rPr>
        <w:t>Calculating</w:t>
      </w:r>
      <w:r>
        <w:rPr>
          <w:rFonts w:ascii="Arial"/>
          <w:spacing w:val="-1"/>
        </w:rPr>
        <w:t> </w:t>
      </w:r>
      <w:r>
        <w:rPr>
          <w:rFonts w:ascii="Arial"/>
        </w:rPr>
        <w:t>a travel deduction if you are</w:t>
      </w:r>
      <w:r>
        <w:rPr>
          <w:rFonts w:ascii="Arial"/>
          <w:spacing w:val="-1"/>
        </w:rPr>
        <w:t> </w:t>
      </w:r>
      <w:r>
        <w:rPr>
          <w:rFonts w:ascii="Arial"/>
        </w:rPr>
        <w:t>in receipt of a travel </w:t>
      </w:r>
      <w:r>
        <w:rPr>
          <w:rFonts w:ascii="Arial"/>
          <w:spacing w:val="-2"/>
        </w:rPr>
        <w:t>allowance</w:t>
      </w:r>
    </w:p>
    <w:p>
      <w:pPr>
        <w:pStyle w:val="BodyText"/>
        <w:spacing w:before="76"/>
        <w:rPr>
          <w:rFonts w:ascii="Arial"/>
          <w:b/>
          <w:sz w:val="20"/>
        </w:rPr>
      </w:pPr>
    </w:p>
    <w:p>
      <w:pPr>
        <w:pStyle w:val="BodyText"/>
        <w:spacing w:after="0"/>
        <w:rPr>
          <w:rFonts w:ascii="Arial"/>
          <w:b/>
          <w:sz w:val="20"/>
        </w:rPr>
        <w:sectPr>
          <w:pgSz w:w="16840" w:h="11910" w:orient="landscape"/>
          <w:pgMar w:top="40" w:bottom="280" w:left="0" w:right="0"/>
        </w:sectPr>
      </w:pPr>
    </w:p>
    <w:p>
      <w:pPr>
        <w:pStyle w:val="BodyText"/>
        <w:spacing w:line="196" w:lineRule="auto" w:before="92"/>
        <w:ind w:left="412" w:right="41"/>
        <w:jc w:val="both"/>
      </w:pPr>
      <w:r>
        <w:rPr/>
        <w:t>The Income Tax Act No.58 of 1962 allows taxpayers who receive a travel allowance to claim a deduction for the use of their private vehicles for business purposes. It is important to note that travel between your home and place of work cannot be claimed and is regarded as private travel.</w:t>
      </w:r>
    </w:p>
    <w:p>
      <w:pPr>
        <w:pStyle w:val="BodyText"/>
        <w:spacing w:before="124"/>
      </w:pPr>
    </w:p>
    <w:p>
      <w:pPr>
        <w:pStyle w:val="BodyText"/>
        <w:spacing w:line="196" w:lineRule="auto" w:before="1"/>
        <w:ind w:left="412" w:right="38"/>
        <w:jc w:val="both"/>
      </w:pPr>
      <w:r>
        <w:rPr/>
        <w:t>In</w:t>
      </w:r>
      <w:r>
        <w:rPr>
          <w:spacing w:val="-1"/>
        </w:rPr>
        <w:t> </w:t>
      </w:r>
      <w:r>
        <w:rPr/>
        <w:t>order</w:t>
      </w:r>
      <w:r>
        <w:rPr>
          <w:spacing w:val="-1"/>
        </w:rPr>
        <w:t> </w:t>
      </w:r>
      <w:r>
        <w:rPr/>
        <w:t>to</w:t>
      </w:r>
      <w:r>
        <w:rPr>
          <w:spacing w:val="-1"/>
        </w:rPr>
        <w:t> </w:t>
      </w:r>
      <w:r>
        <w:rPr/>
        <w:t>claim</w:t>
      </w:r>
      <w:r>
        <w:rPr>
          <w:spacing w:val="-1"/>
        </w:rPr>
        <w:t> </w:t>
      </w:r>
      <w:r>
        <w:rPr/>
        <w:t>a</w:t>
      </w:r>
      <w:r>
        <w:rPr>
          <w:spacing w:val="-1"/>
        </w:rPr>
        <w:t> </w:t>
      </w:r>
      <w:r>
        <w:rPr/>
        <w:t>deduction,</w:t>
      </w:r>
      <w:r>
        <w:rPr>
          <w:spacing w:val="-1"/>
        </w:rPr>
        <w:t> </w:t>
      </w:r>
      <w:r>
        <w:rPr/>
        <w:t>the</w:t>
      </w:r>
      <w:r>
        <w:rPr>
          <w:spacing w:val="-1"/>
        </w:rPr>
        <w:t> </w:t>
      </w:r>
      <w:r>
        <w:rPr/>
        <w:t>first</w:t>
      </w:r>
      <w:r>
        <w:rPr>
          <w:spacing w:val="-1"/>
        </w:rPr>
        <w:t> </w:t>
      </w:r>
      <w:r>
        <w:rPr/>
        <w:t>step</w:t>
      </w:r>
      <w:r>
        <w:rPr>
          <w:spacing w:val="-1"/>
        </w:rPr>
        <w:t> </w:t>
      </w:r>
      <w:r>
        <w:rPr/>
        <w:t>is</w:t>
      </w:r>
      <w:r>
        <w:rPr>
          <w:spacing w:val="-1"/>
        </w:rPr>
        <w:t> </w:t>
      </w:r>
      <w:r>
        <w:rPr/>
        <w:t>to</w:t>
      </w:r>
      <w:r>
        <w:rPr>
          <w:spacing w:val="-1"/>
        </w:rPr>
        <w:t> </w:t>
      </w:r>
      <w:r>
        <w:rPr/>
        <w:t>record</w:t>
      </w:r>
      <w:r>
        <w:rPr>
          <w:spacing w:val="-1"/>
        </w:rPr>
        <w:t> </w:t>
      </w:r>
      <w:r>
        <w:rPr/>
        <w:t>your</w:t>
      </w:r>
      <w:r>
        <w:rPr>
          <w:spacing w:val="-1"/>
        </w:rPr>
        <w:t> </w:t>
      </w:r>
      <w:r>
        <w:rPr/>
        <w:t>vehicle’s odometer reading on 1 March each year (the first day of the tax year for individuals), and again on the last day of February the following year (the last day of the tax year for individuals). The difference between the closing and opening readings will give you your total kilometres travelled for the year.</w:t>
      </w:r>
    </w:p>
    <w:p>
      <w:pPr>
        <w:pStyle w:val="Heading2"/>
        <w:spacing w:before="169"/>
        <w:jc w:val="both"/>
      </w:pPr>
      <w:r>
        <w:rPr/>
        <w:t>Without</w:t>
      </w:r>
      <w:r>
        <w:rPr>
          <w:spacing w:val="-2"/>
        </w:rPr>
        <w:t> </w:t>
      </w:r>
      <w:r>
        <w:rPr/>
        <w:t>these</w:t>
      </w:r>
      <w:r>
        <w:rPr>
          <w:spacing w:val="-2"/>
        </w:rPr>
        <w:t> </w:t>
      </w:r>
      <w:r>
        <w:rPr/>
        <w:t>readings,</w:t>
      </w:r>
      <w:r>
        <w:rPr>
          <w:spacing w:val="-1"/>
        </w:rPr>
        <w:t> </w:t>
      </w:r>
      <w:r>
        <w:rPr/>
        <w:t>you</w:t>
      </w:r>
      <w:r>
        <w:rPr>
          <w:spacing w:val="-1"/>
        </w:rPr>
        <w:t> </w:t>
      </w:r>
      <w:r>
        <w:rPr/>
        <w:t>cannot</w:t>
      </w:r>
      <w:r>
        <w:rPr>
          <w:spacing w:val="-2"/>
        </w:rPr>
        <w:t> </w:t>
      </w:r>
      <w:r>
        <w:rPr/>
        <w:t>claim</w:t>
      </w:r>
      <w:r>
        <w:rPr>
          <w:spacing w:val="-2"/>
        </w:rPr>
        <w:t> </w:t>
      </w:r>
      <w:r>
        <w:rPr/>
        <w:t>a</w:t>
      </w:r>
      <w:r>
        <w:rPr>
          <w:spacing w:val="-1"/>
        </w:rPr>
        <w:t> </w:t>
      </w:r>
      <w:r>
        <w:rPr/>
        <w:t>tax</w:t>
      </w:r>
      <w:r>
        <w:rPr>
          <w:spacing w:val="-2"/>
        </w:rPr>
        <w:t> deduction!</w:t>
      </w:r>
    </w:p>
    <w:p>
      <w:pPr>
        <w:pStyle w:val="BodyText"/>
        <w:spacing w:line="196" w:lineRule="auto" w:before="226"/>
        <w:ind w:left="412" w:right="62"/>
        <w:jc w:val="both"/>
      </w:pPr>
      <w:r>
        <w:rPr/>
        <w:t>Once</w:t>
      </w:r>
      <w:r>
        <w:rPr>
          <w:spacing w:val="-3"/>
        </w:rPr>
        <w:t> </w:t>
      </w:r>
      <w:r>
        <w:rPr/>
        <w:t>you</w:t>
      </w:r>
      <w:r>
        <w:rPr>
          <w:spacing w:val="-4"/>
        </w:rPr>
        <w:t> </w:t>
      </w:r>
      <w:r>
        <w:rPr/>
        <w:t>have</w:t>
      </w:r>
      <w:r>
        <w:rPr>
          <w:spacing w:val="-3"/>
        </w:rPr>
        <w:t> </w:t>
      </w:r>
      <w:r>
        <w:rPr/>
        <w:t>taken</w:t>
      </w:r>
      <w:r>
        <w:rPr>
          <w:spacing w:val="-4"/>
        </w:rPr>
        <w:t> </w:t>
      </w:r>
      <w:r>
        <w:rPr/>
        <w:t>down</w:t>
      </w:r>
      <w:r>
        <w:rPr>
          <w:spacing w:val="-4"/>
        </w:rPr>
        <w:t> </w:t>
      </w:r>
      <w:r>
        <w:rPr/>
        <w:t>these</w:t>
      </w:r>
      <w:r>
        <w:rPr>
          <w:spacing w:val="-3"/>
        </w:rPr>
        <w:t> </w:t>
      </w:r>
      <w:r>
        <w:rPr/>
        <w:t>readings</w:t>
      </w:r>
      <w:r>
        <w:rPr>
          <w:spacing w:val="-4"/>
        </w:rPr>
        <w:t> </w:t>
      </w:r>
      <w:r>
        <w:rPr/>
        <w:t>and</w:t>
      </w:r>
      <w:r>
        <w:rPr>
          <w:spacing w:val="-4"/>
        </w:rPr>
        <w:t> </w:t>
      </w:r>
      <w:r>
        <w:rPr/>
        <w:t>worked</w:t>
      </w:r>
      <w:r>
        <w:rPr>
          <w:spacing w:val="-4"/>
        </w:rPr>
        <w:t> </w:t>
      </w:r>
      <w:r>
        <w:rPr/>
        <w:t>out</w:t>
      </w:r>
      <w:r>
        <w:rPr>
          <w:spacing w:val="-3"/>
        </w:rPr>
        <w:t> </w:t>
      </w:r>
      <w:r>
        <w:rPr/>
        <w:t>your</w:t>
      </w:r>
      <w:r>
        <w:rPr>
          <w:spacing w:val="-3"/>
        </w:rPr>
        <w:t> </w:t>
      </w:r>
      <w:r>
        <w:rPr/>
        <w:t>total travel for the year, you can start calculating your travel deduction.</w:t>
      </w:r>
    </w:p>
    <w:p>
      <w:pPr>
        <w:pStyle w:val="BodyText"/>
        <w:spacing w:line="196" w:lineRule="auto" w:before="257"/>
        <w:ind w:left="398" w:right="57"/>
        <w:jc w:val="both"/>
      </w:pPr>
      <w:r>
        <w:rPr/>
        <w:t>First you need to calculate what portion of the total kilometres travelled was for business use.</w:t>
      </w:r>
    </w:p>
    <w:p>
      <w:pPr>
        <w:pStyle w:val="BodyText"/>
        <w:spacing w:before="203"/>
      </w:pPr>
    </w:p>
    <w:p>
      <w:pPr>
        <w:pStyle w:val="BodyText"/>
        <w:spacing w:line="196" w:lineRule="auto"/>
        <w:ind w:left="378" w:right="54"/>
        <w:jc w:val="both"/>
      </w:pPr>
      <w:r>
        <w:rPr/>
        <w:t>It</w:t>
      </w:r>
      <w:r>
        <w:rPr>
          <w:spacing w:val="-1"/>
        </w:rPr>
        <w:t> </w:t>
      </w:r>
      <w:r>
        <w:rPr/>
        <w:t>is</w:t>
      </w:r>
      <w:r>
        <w:rPr>
          <w:spacing w:val="-1"/>
        </w:rPr>
        <w:t> </w:t>
      </w:r>
      <w:r>
        <w:rPr/>
        <w:t>now</w:t>
      </w:r>
      <w:r>
        <w:rPr>
          <w:spacing w:val="-1"/>
        </w:rPr>
        <w:t> </w:t>
      </w:r>
      <w:r>
        <w:rPr/>
        <w:t>compulsory</w:t>
      </w:r>
      <w:r>
        <w:rPr>
          <w:spacing w:val="-1"/>
        </w:rPr>
        <w:t> </w:t>
      </w:r>
      <w:r>
        <w:rPr/>
        <w:t>to</w:t>
      </w:r>
      <w:r>
        <w:rPr>
          <w:spacing w:val="-1"/>
        </w:rPr>
        <w:t> </w:t>
      </w:r>
      <w:r>
        <w:rPr/>
        <w:t>keep</w:t>
      </w:r>
      <w:r>
        <w:rPr>
          <w:spacing w:val="-1"/>
        </w:rPr>
        <w:t> </w:t>
      </w:r>
      <w:r>
        <w:rPr/>
        <w:t>a</w:t>
      </w:r>
      <w:r>
        <w:rPr>
          <w:spacing w:val="-1"/>
        </w:rPr>
        <w:t> </w:t>
      </w:r>
      <w:r>
        <w:rPr/>
        <w:t>logbook</w:t>
      </w:r>
      <w:r>
        <w:rPr>
          <w:spacing w:val="-1"/>
        </w:rPr>
        <w:t> </w:t>
      </w:r>
      <w:r>
        <w:rPr/>
        <w:t>of</w:t>
      </w:r>
      <w:r>
        <w:rPr>
          <w:spacing w:val="-1"/>
        </w:rPr>
        <w:t> </w:t>
      </w:r>
      <w:r>
        <w:rPr/>
        <w:t>all</w:t>
      </w:r>
      <w:r>
        <w:rPr>
          <w:spacing w:val="-1"/>
        </w:rPr>
        <w:t> </w:t>
      </w:r>
      <w:r>
        <w:rPr/>
        <w:t>your</w:t>
      </w:r>
      <w:r>
        <w:rPr>
          <w:spacing w:val="-1"/>
        </w:rPr>
        <w:t> </w:t>
      </w:r>
      <w:r>
        <w:rPr/>
        <w:t>travel</w:t>
      </w:r>
      <w:r>
        <w:rPr>
          <w:spacing w:val="-1"/>
        </w:rPr>
        <w:t> </w:t>
      </w:r>
      <w:r>
        <w:rPr/>
        <w:t>in</w:t>
      </w:r>
      <w:r>
        <w:rPr>
          <w:spacing w:val="-1"/>
        </w:rPr>
        <w:t> </w:t>
      </w:r>
      <w:r>
        <w:rPr/>
        <w:t>which</w:t>
      </w:r>
      <w:r>
        <w:rPr>
          <w:spacing w:val="-1"/>
        </w:rPr>
        <w:t> </w:t>
      </w:r>
      <w:r>
        <w:rPr/>
        <w:t>you record your business kilometres if you want to claim a travel deduction. The logbook must contain the following minimum information relating to your business travel:</w:t>
      </w:r>
    </w:p>
    <w:p>
      <w:pPr>
        <w:pStyle w:val="ListParagraph"/>
        <w:numPr>
          <w:ilvl w:val="0"/>
          <w:numId w:val="1"/>
        </w:numPr>
        <w:tabs>
          <w:tab w:pos="1458" w:val="left" w:leader="none"/>
        </w:tabs>
        <w:spacing w:line="240" w:lineRule="auto" w:before="215" w:after="0"/>
        <w:ind w:left="1458" w:right="0" w:hanging="720"/>
        <w:jc w:val="left"/>
        <w:rPr>
          <w:sz w:val="26"/>
        </w:rPr>
      </w:pPr>
      <w:r>
        <w:rPr>
          <w:sz w:val="26"/>
        </w:rPr>
        <w:t>Date</w:t>
      </w:r>
      <w:r>
        <w:rPr>
          <w:spacing w:val="-1"/>
          <w:sz w:val="26"/>
        </w:rPr>
        <w:t> </w:t>
      </w:r>
      <w:r>
        <w:rPr>
          <w:sz w:val="26"/>
        </w:rPr>
        <w:t>of</w:t>
      </w:r>
      <w:r>
        <w:rPr>
          <w:spacing w:val="-1"/>
          <w:sz w:val="26"/>
        </w:rPr>
        <w:t> </w:t>
      </w:r>
      <w:r>
        <w:rPr>
          <w:spacing w:val="-2"/>
          <w:sz w:val="26"/>
        </w:rPr>
        <w:t>travel</w:t>
      </w:r>
    </w:p>
    <w:p>
      <w:pPr>
        <w:pStyle w:val="ListParagraph"/>
        <w:numPr>
          <w:ilvl w:val="0"/>
          <w:numId w:val="1"/>
        </w:numPr>
        <w:tabs>
          <w:tab w:pos="1458" w:val="left" w:leader="none"/>
        </w:tabs>
        <w:spacing w:line="240" w:lineRule="auto" w:before="142" w:after="0"/>
        <w:ind w:left="1458" w:right="0" w:hanging="720"/>
        <w:jc w:val="left"/>
        <w:rPr>
          <w:sz w:val="26"/>
        </w:rPr>
      </w:pPr>
      <w:r>
        <w:rPr>
          <w:sz w:val="26"/>
        </w:rPr>
        <w:t>Kilometres</w:t>
      </w:r>
      <w:r>
        <w:rPr>
          <w:spacing w:val="-10"/>
          <w:sz w:val="26"/>
        </w:rPr>
        <w:t> </w:t>
      </w:r>
      <w:r>
        <w:rPr>
          <w:spacing w:val="-2"/>
          <w:sz w:val="26"/>
        </w:rPr>
        <w:t>travelled</w:t>
      </w:r>
    </w:p>
    <w:p>
      <w:pPr>
        <w:pStyle w:val="ListParagraph"/>
        <w:numPr>
          <w:ilvl w:val="0"/>
          <w:numId w:val="1"/>
        </w:numPr>
        <w:tabs>
          <w:tab w:pos="1458" w:val="left" w:leader="none"/>
        </w:tabs>
        <w:spacing w:line="240" w:lineRule="auto" w:before="143" w:after="0"/>
        <w:ind w:left="1458" w:right="0" w:hanging="720"/>
        <w:jc w:val="left"/>
        <w:rPr>
          <w:sz w:val="26"/>
        </w:rPr>
      </w:pPr>
      <w:r>
        <w:rPr>
          <w:sz w:val="26"/>
        </w:rPr>
        <w:t>Travel</w:t>
      </w:r>
      <w:r>
        <w:rPr>
          <w:spacing w:val="-4"/>
          <w:sz w:val="26"/>
        </w:rPr>
        <w:t> </w:t>
      </w:r>
      <w:r>
        <w:rPr>
          <w:sz w:val="26"/>
        </w:rPr>
        <w:t>details</w:t>
      </w:r>
      <w:r>
        <w:rPr>
          <w:spacing w:val="-3"/>
          <w:sz w:val="26"/>
        </w:rPr>
        <w:t> </w:t>
      </w:r>
      <w:r>
        <w:rPr>
          <w:sz w:val="26"/>
        </w:rPr>
        <w:t>(where</w:t>
      </w:r>
      <w:r>
        <w:rPr>
          <w:spacing w:val="-3"/>
          <w:sz w:val="26"/>
        </w:rPr>
        <w:t> </w:t>
      </w:r>
      <w:r>
        <w:rPr>
          <w:sz w:val="26"/>
        </w:rPr>
        <w:t>to</w:t>
      </w:r>
      <w:r>
        <w:rPr>
          <w:spacing w:val="-3"/>
          <w:sz w:val="26"/>
        </w:rPr>
        <w:t> </w:t>
      </w:r>
      <w:r>
        <w:rPr>
          <w:sz w:val="26"/>
        </w:rPr>
        <w:t>and</w:t>
      </w:r>
      <w:r>
        <w:rPr>
          <w:spacing w:val="-3"/>
          <w:sz w:val="26"/>
        </w:rPr>
        <w:t> </w:t>
      </w:r>
      <w:r>
        <w:rPr>
          <w:sz w:val="26"/>
        </w:rPr>
        <w:t>reason</w:t>
      </w:r>
      <w:r>
        <w:rPr>
          <w:spacing w:val="-4"/>
          <w:sz w:val="26"/>
        </w:rPr>
        <w:t> </w:t>
      </w:r>
      <w:r>
        <w:rPr>
          <w:sz w:val="26"/>
        </w:rPr>
        <w:t>for</w:t>
      </w:r>
      <w:r>
        <w:rPr>
          <w:spacing w:val="-2"/>
          <w:sz w:val="26"/>
        </w:rPr>
        <w:t> </w:t>
      </w:r>
      <w:r>
        <w:rPr>
          <w:sz w:val="26"/>
        </w:rPr>
        <w:t>the</w:t>
      </w:r>
      <w:r>
        <w:rPr>
          <w:spacing w:val="-2"/>
          <w:sz w:val="26"/>
        </w:rPr>
        <w:t> </w:t>
      </w:r>
      <w:r>
        <w:rPr>
          <w:spacing w:val="-4"/>
          <w:sz w:val="26"/>
        </w:rPr>
        <w:t>trip)</w:t>
      </w:r>
    </w:p>
    <w:p>
      <w:pPr>
        <w:pStyle w:val="BodyText"/>
        <w:spacing w:line="196" w:lineRule="auto" w:before="105"/>
        <w:ind w:left="378" w:right="722"/>
        <w:jc w:val="both"/>
      </w:pPr>
      <w:r>
        <w:rPr/>
        <w:br w:type="column"/>
      </w:r>
      <w:r>
        <w:rPr>
          <w:b/>
        </w:rPr>
        <w:t>Note:</w:t>
      </w:r>
      <w:r>
        <w:rPr>
          <w:b/>
          <w:spacing w:val="-3"/>
        </w:rPr>
        <w:t> </w:t>
      </w:r>
      <w:r>
        <w:rPr/>
        <w:t>Where</w:t>
      </w:r>
      <w:r>
        <w:rPr>
          <w:spacing w:val="-2"/>
        </w:rPr>
        <w:t> </w:t>
      </w:r>
      <w:r>
        <w:rPr/>
        <w:t>you</w:t>
      </w:r>
      <w:r>
        <w:rPr>
          <w:spacing w:val="-3"/>
        </w:rPr>
        <w:t> </w:t>
      </w:r>
      <w:r>
        <w:rPr/>
        <w:t>used</w:t>
      </w:r>
      <w:r>
        <w:rPr>
          <w:spacing w:val="-3"/>
        </w:rPr>
        <w:t> </w:t>
      </w:r>
      <w:r>
        <w:rPr/>
        <w:t>more</w:t>
      </w:r>
      <w:r>
        <w:rPr>
          <w:spacing w:val="-2"/>
        </w:rPr>
        <w:t> </w:t>
      </w:r>
      <w:r>
        <w:rPr/>
        <w:t>than</w:t>
      </w:r>
      <w:r>
        <w:rPr>
          <w:spacing w:val="-3"/>
        </w:rPr>
        <w:t> </w:t>
      </w:r>
      <w:r>
        <w:rPr/>
        <w:t>one</w:t>
      </w:r>
      <w:r>
        <w:rPr>
          <w:spacing w:val="-2"/>
        </w:rPr>
        <w:t> </w:t>
      </w:r>
      <w:r>
        <w:rPr/>
        <w:t>vehicle</w:t>
      </w:r>
      <w:r>
        <w:rPr>
          <w:spacing w:val="-3"/>
        </w:rPr>
        <w:t> </w:t>
      </w:r>
      <w:r>
        <w:rPr/>
        <w:t>in</w:t>
      </w:r>
      <w:r>
        <w:rPr>
          <w:spacing w:val="-3"/>
        </w:rPr>
        <w:t> </w:t>
      </w:r>
      <w:r>
        <w:rPr/>
        <w:t>the</w:t>
      </w:r>
      <w:r>
        <w:rPr>
          <w:spacing w:val="-2"/>
        </w:rPr>
        <w:t> </w:t>
      </w:r>
      <w:r>
        <w:rPr/>
        <w:t>tax</w:t>
      </w:r>
      <w:r>
        <w:rPr>
          <w:spacing w:val="-3"/>
        </w:rPr>
        <w:t> </w:t>
      </w:r>
      <w:r>
        <w:rPr/>
        <w:t>year,</w:t>
      </w:r>
      <w:r>
        <w:rPr>
          <w:spacing w:val="-2"/>
        </w:rPr>
        <w:t> </w:t>
      </w:r>
      <w:r>
        <w:rPr/>
        <w:t>a</w:t>
      </w:r>
      <w:r>
        <w:rPr>
          <w:spacing w:val="-3"/>
        </w:rPr>
        <w:t> </w:t>
      </w:r>
      <w:r>
        <w:rPr/>
        <w:t>separate logbook must be kept for each vehicle that was used.</w:t>
      </w:r>
    </w:p>
    <w:p>
      <w:pPr>
        <w:pStyle w:val="BodyText"/>
        <w:spacing w:before="179"/>
      </w:pPr>
    </w:p>
    <w:p>
      <w:pPr>
        <w:pStyle w:val="Heading2"/>
        <w:spacing w:line="182" w:lineRule="auto"/>
        <w:ind w:left="387" w:right="805"/>
        <w:jc w:val="both"/>
      </w:pPr>
      <w:r>
        <w:rPr/>
        <w:t>Without a logbook, you will not be able to claim a travel </w:t>
      </w:r>
      <w:r>
        <w:rPr>
          <w:spacing w:val="-2"/>
        </w:rPr>
        <w:t>deduction.</w:t>
      </w:r>
    </w:p>
    <w:p>
      <w:pPr>
        <w:pStyle w:val="BodyText"/>
        <w:spacing w:line="393" w:lineRule="auto" w:before="298"/>
        <w:ind w:left="403" w:right="2257"/>
        <w:jc w:val="both"/>
      </w:pPr>
      <w:r>
        <w:rPr/>
        <w:t>You</w:t>
      </w:r>
      <w:r>
        <w:rPr>
          <w:spacing w:val="-4"/>
        </w:rPr>
        <w:t> </w:t>
      </w:r>
      <w:r>
        <w:rPr/>
        <w:t>are</w:t>
      </w:r>
      <w:r>
        <w:rPr>
          <w:spacing w:val="-4"/>
        </w:rPr>
        <w:t> </w:t>
      </w:r>
      <w:r>
        <w:rPr/>
        <w:t>now</w:t>
      </w:r>
      <w:r>
        <w:rPr>
          <w:spacing w:val="-4"/>
        </w:rPr>
        <w:t> </w:t>
      </w:r>
      <w:r>
        <w:rPr/>
        <w:t>ready</w:t>
      </w:r>
      <w:r>
        <w:rPr>
          <w:spacing w:val="-4"/>
        </w:rPr>
        <w:t> </w:t>
      </w:r>
      <w:r>
        <w:rPr/>
        <w:t>to</w:t>
      </w:r>
      <w:r>
        <w:rPr>
          <w:spacing w:val="-4"/>
        </w:rPr>
        <w:t> </w:t>
      </w:r>
      <w:r>
        <w:rPr/>
        <w:t>calculate</w:t>
      </w:r>
      <w:r>
        <w:rPr>
          <w:spacing w:val="-4"/>
        </w:rPr>
        <w:t> </w:t>
      </w:r>
      <w:r>
        <w:rPr/>
        <w:t>the</w:t>
      </w:r>
      <w:r>
        <w:rPr>
          <w:spacing w:val="-4"/>
        </w:rPr>
        <w:t> </w:t>
      </w:r>
      <w:r>
        <w:rPr/>
        <w:t>amount</w:t>
      </w:r>
      <w:r>
        <w:rPr>
          <w:spacing w:val="-4"/>
        </w:rPr>
        <w:t> </w:t>
      </w:r>
      <w:r>
        <w:rPr/>
        <w:t>of</w:t>
      </w:r>
      <w:r>
        <w:rPr>
          <w:spacing w:val="-4"/>
        </w:rPr>
        <w:t> </w:t>
      </w:r>
      <w:r>
        <w:rPr/>
        <w:t>your</w:t>
      </w:r>
      <w:r>
        <w:rPr>
          <w:spacing w:val="-4"/>
        </w:rPr>
        <w:t> </w:t>
      </w:r>
      <w:r>
        <w:rPr/>
        <w:t>claim. As a taxpayer you have two choices:</w:t>
      </w:r>
    </w:p>
    <w:p>
      <w:pPr>
        <w:pStyle w:val="ListParagraph"/>
        <w:numPr>
          <w:ilvl w:val="0"/>
          <w:numId w:val="2"/>
        </w:numPr>
        <w:tabs>
          <w:tab w:pos="917" w:val="left" w:leader="none"/>
          <w:tab w:pos="919" w:val="left" w:leader="none"/>
        </w:tabs>
        <w:spacing w:line="196" w:lineRule="auto" w:before="19" w:after="0"/>
        <w:ind w:left="919" w:right="661" w:hanging="532"/>
        <w:jc w:val="both"/>
        <w:rPr>
          <w:sz w:val="26"/>
        </w:rPr>
      </w:pPr>
      <w:r>
        <w:rPr>
          <w:sz w:val="26"/>
        </w:rPr>
        <w:t>You can calculate your claim based on the table of costs supplied</w:t>
      </w:r>
      <w:r>
        <w:rPr>
          <w:spacing w:val="40"/>
          <w:sz w:val="26"/>
        </w:rPr>
        <w:t> </w:t>
      </w:r>
      <w:r>
        <w:rPr>
          <w:sz w:val="26"/>
        </w:rPr>
        <w:t>by SARS each year. You will find the cost tables which apply to the tax year from 1 March 2025 to 28 February 2026 on the next page of this logbook. You need not have kept an accurate record of all your expenses – simply use the costs linked to the value of your </w:t>
      </w:r>
      <w:r>
        <w:rPr>
          <w:spacing w:val="-2"/>
          <w:sz w:val="26"/>
        </w:rPr>
        <w:t>vehicle.</w:t>
      </w:r>
    </w:p>
    <w:p>
      <w:pPr>
        <w:pStyle w:val="BodyText"/>
        <w:spacing w:before="11"/>
      </w:pPr>
    </w:p>
    <w:p>
      <w:pPr>
        <w:pStyle w:val="ListParagraph"/>
        <w:numPr>
          <w:ilvl w:val="0"/>
          <w:numId w:val="2"/>
        </w:numPr>
        <w:tabs>
          <w:tab w:pos="917" w:val="left" w:leader="none"/>
          <w:tab w:pos="919" w:val="left" w:leader="none"/>
        </w:tabs>
        <w:spacing w:line="196" w:lineRule="auto" w:before="0" w:after="0"/>
        <w:ind w:left="919" w:right="658" w:hanging="532"/>
        <w:jc w:val="both"/>
        <w:rPr>
          <w:sz w:val="26"/>
        </w:rPr>
      </w:pPr>
      <w:r>
        <w:rPr>
          <w:sz w:val="26"/>
        </w:rPr>
        <w:t>Alternatively, you can calculate your claim based on the actual costs. You will have to have kept an accurate record of all your expenses during the year, including fuel, maintenance, lease and insurance costs.</w:t>
      </w:r>
    </w:p>
    <w:p>
      <w:pPr>
        <w:pStyle w:val="BodyText"/>
        <w:spacing w:before="153"/>
      </w:pPr>
    </w:p>
    <w:p>
      <w:pPr>
        <w:pStyle w:val="BodyText"/>
        <w:spacing w:line="196" w:lineRule="auto"/>
        <w:ind w:left="394" w:right="661"/>
        <w:jc w:val="both"/>
      </w:pPr>
      <w:r>
        <w:rPr/>
        <w:t>Please note that you must retain your logbook for a period of at least five years as you may be required to submit it to SARS for verification of your claim. SARS accepts electronic logbooks as an acceptable record.</w:t>
      </w:r>
    </w:p>
    <w:p>
      <w:pPr>
        <w:pStyle w:val="BodyText"/>
        <w:spacing w:after="0" w:line="196" w:lineRule="auto"/>
        <w:jc w:val="both"/>
        <w:sectPr>
          <w:type w:val="continuous"/>
          <w:pgSz w:w="16840" w:h="11910" w:orient="landscape"/>
          <w:pgMar w:top="20" w:bottom="0" w:left="0" w:right="0"/>
          <w:cols w:num="2" w:equalWidth="0">
            <w:col w:w="7781" w:space="327"/>
            <w:col w:w="8732"/>
          </w:cols>
        </w:sectPr>
      </w:pPr>
    </w:p>
    <w:p>
      <w:pPr>
        <w:pStyle w:val="BodyText"/>
        <w:spacing w:before="45"/>
        <w:rPr>
          <w:sz w:val="20"/>
        </w:rPr>
      </w:pPr>
    </w:p>
    <w:p>
      <w:pPr>
        <w:spacing w:line="240" w:lineRule="auto"/>
        <w:ind w:left="365" w:right="0" w:firstLine="0"/>
        <w:rPr>
          <w:sz w:val="20"/>
        </w:rPr>
      </w:pPr>
      <w:r>
        <w:rPr>
          <w:sz w:val="20"/>
        </w:rPr>
        <mc:AlternateContent>
          <mc:Choice Requires="wps">
            <w:drawing>
              <wp:inline distT="0" distB="0" distL="0" distR="0">
                <wp:extent cx="10081895" cy="47625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10081895" cy="476250"/>
                        </a:xfrm>
                        <a:prstGeom prst="rect">
                          <a:avLst/>
                        </a:prstGeom>
                        <a:solidFill>
                          <a:srgbClr val="D3D3D3"/>
                        </a:solidFill>
                      </wps:spPr>
                      <wps:txbx>
                        <w:txbxContent>
                          <w:p>
                            <w:pPr>
                              <w:spacing w:before="206"/>
                              <w:ind w:left="141" w:right="0" w:firstLine="0"/>
                              <w:jc w:val="left"/>
                              <w:rPr>
                                <w:b/>
                                <w:color w:val="000000"/>
                                <w:sz w:val="24"/>
                              </w:rPr>
                            </w:pPr>
                            <w:r>
                              <w:rPr>
                                <w:b/>
                                <w:color w:val="000000"/>
                                <w:sz w:val="24"/>
                              </w:rPr>
                              <w:t>The</w:t>
                            </w:r>
                            <w:r>
                              <w:rPr>
                                <w:b/>
                                <w:color w:val="000000"/>
                                <w:spacing w:val="-3"/>
                                <w:sz w:val="24"/>
                              </w:rPr>
                              <w:t> </w:t>
                            </w:r>
                            <w:r>
                              <w:rPr>
                                <w:b/>
                                <w:color w:val="000000"/>
                                <w:sz w:val="24"/>
                              </w:rPr>
                              <w:t>South</w:t>
                            </w:r>
                            <w:r>
                              <w:rPr>
                                <w:b/>
                                <w:color w:val="000000"/>
                                <w:spacing w:val="-1"/>
                                <w:sz w:val="24"/>
                              </w:rPr>
                              <w:t> </w:t>
                            </w:r>
                            <w:r>
                              <w:rPr>
                                <w:b/>
                                <w:color w:val="000000"/>
                                <w:sz w:val="24"/>
                              </w:rPr>
                              <w:t>African</w:t>
                            </w:r>
                            <w:r>
                              <w:rPr>
                                <w:b/>
                                <w:color w:val="000000"/>
                                <w:spacing w:val="-1"/>
                                <w:sz w:val="24"/>
                              </w:rPr>
                              <w:t> </w:t>
                            </w:r>
                            <w:r>
                              <w:rPr>
                                <w:b/>
                                <w:color w:val="000000"/>
                                <w:sz w:val="24"/>
                              </w:rPr>
                              <w:t>Revenue</w:t>
                            </w:r>
                            <w:r>
                              <w:rPr>
                                <w:b/>
                                <w:color w:val="000000"/>
                                <w:spacing w:val="-3"/>
                                <w:sz w:val="24"/>
                              </w:rPr>
                              <w:t> </w:t>
                            </w:r>
                            <w:r>
                              <w:rPr>
                                <w:b/>
                                <w:color w:val="000000"/>
                                <w:sz w:val="24"/>
                              </w:rPr>
                              <w:t>Service</w:t>
                            </w:r>
                            <w:r>
                              <w:rPr>
                                <w:b/>
                                <w:color w:val="000000"/>
                                <w:spacing w:val="-2"/>
                                <w:sz w:val="24"/>
                              </w:rPr>
                              <w:t> </w:t>
                            </w:r>
                            <w:r>
                              <w:rPr>
                                <w:b/>
                                <w:color w:val="000000"/>
                                <w:sz w:val="24"/>
                              </w:rPr>
                              <w:t>reserves</w:t>
                            </w:r>
                            <w:r>
                              <w:rPr>
                                <w:b/>
                                <w:color w:val="000000"/>
                                <w:spacing w:val="-1"/>
                                <w:sz w:val="24"/>
                              </w:rPr>
                              <w:t> </w:t>
                            </w:r>
                            <w:r>
                              <w:rPr>
                                <w:b/>
                                <w:color w:val="000000"/>
                                <w:sz w:val="24"/>
                              </w:rPr>
                              <w:t>the</w:t>
                            </w:r>
                            <w:r>
                              <w:rPr>
                                <w:b/>
                                <w:color w:val="000000"/>
                                <w:spacing w:val="-2"/>
                                <w:sz w:val="24"/>
                              </w:rPr>
                              <w:t> </w:t>
                            </w:r>
                            <w:r>
                              <w:rPr>
                                <w:b/>
                                <w:color w:val="000000"/>
                                <w:sz w:val="24"/>
                              </w:rPr>
                              <w:t>right</w:t>
                            </w:r>
                            <w:r>
                              <w:rPr>
                                <w:b/>
                                <w:color w:val="000000"/>
                                <w:spacing w:val="-2"/>
                                <w:sz w:val="24"/>
                              </w:rPr>
                              <w:t> </w:t>
                            </w:r>
                            <w:r>
                              <w:rPr>
                                <w:b/>
                                <w:color w:val="000000"/>
                                <w:sz w:val="24"/>
                              </w:rPr>
                              <w:t>to</w:t>
                            </w:r>
                            <w:r>
                              <w:rPr>
                                <w:b/>
                                <w:color w:val="000000"/>
                                <w:spacing w:val="-1"/>
                                <w:sz w:val="24"/>
                              </w:rPr>
                              <w:t> </w:t>
                            </w:r>
                            <w:r>
                              <w:rPr>
                                <w:b/>
                                <w:color w:val="000000"/>
                                <w:sz w:val="24"/>
                              </w:rPr>
                              <w:t>audit</w:t>
                            </w:r>
                            <w:r>
                              <w:rPr>
                                <w:b/>
                                <w:color w:val="000000"/>
                                <w:spacing w:val="-1"/>
                                <w:sz w:val="24"/>
                              </w:rPr>
                              <w:t> </w:t>
                            </w:r>
                            <w:r>
                              <w:rPr>
                                <w:b/>
                                <w:color w:val="000000"/>
                                <w:sz w:val="24"/>
                              </w:rPr>
                              <w:t>and</w:t>
                            </w:r>
                            <w:r>
                              <w:rPr>
                                <w:b/>
                                <w:color w:val="000000"/>
                                <w:spacing w:val="-1"/>
                                <w:sz w:val="24"/>
                              </w:rPr>
                              <w:t> </w:t>
                            </w:r>
                            <w:r>
                              <w:rPr>
                                <w:b/>
                                <w:color w:val="000000"/>
                                <w:sz w:val="24"/>
                              </w:rPr>
                              <w:t>query</w:t>
                            </w:r>
                            <w:r>
                              <w:rPr>
                                <w:b/>
                                <w:color w:val="000000"/>
                                <w:spacing w:val="-2"/>
                                <w:sz w:val="24"/>
                              </w:rPr>
                              <w:t> </w:t>
                            </w:r>
                            <w:r>
                              <w:rPr>
                                <w:b/>
                                <w:color w:val="000000"/>
                                <w:sz w:val="24"/>
                              </w:rPr>
                              <w:t>the</w:t>
                            </w:r>
                            <w:r>
                              <w:rPr>
                                <w:b/>
                                <w:color w:val="000000"/>
                                <w:spacing w:val="-2"/>
                                <w:sz w:val="24"/>
                              </w:rPr>
                              <w:t> </w:t>
                            </w:r>
                            <w:r>
                              <w:rPr>
                                <w:b/>
                                <w:color w:val="000000"/>
                                <w:sz w:val="24"/>
                              </w:rPr>
                              <w:t>content</w:t>
                            </w:r>
                            <w:r>
                              <w:rPr>
                                <w:b/>
                                <w:color w:val="000000"/>
                                <w:spacing w:val="-1"/>
                                <w:sz w:val="24"/>
                              </w:rPr>
                              <w:t> </w:t>
                            </w:r>
                            <w:r>
                              <w:rPr>
                                <w:b/>
                                <w:color w:val="000000"/>
                                <w:sz w:val="24"/>
                              </w:rPr>
                              <w:t>or</w:t>
                            </w:r>
                            <w:r>
                              <w:rPr>
                                <w:b/>
                                <w:color w:val="000000"/>
                                <w:spacing w:val="-3"/>
                                <w:sz w:val="24"/>
                              </w:rPr>
                              <w:t> </w:t>
                            </w:r>
                            <w:r>
                              <w:rPr>
                                <w:b/>
                                <w:color w:val="000000"/>
                                <w:sz w:val="24"/>
                              </w:rPr>
                              <w:t>information</w:t>
                            </w:r>
                            <w:r>
                              <w:rPr>
                                <w:b/>
                                <w:color w:val="000000"/>
                                <w:spacing w:val="-1"/>
                                <w:sz w:val="24"/>
                              </w:rPr>
                              <w:t> </w:t>
                            </w:r>
                            <w:r>
                              <w:rPr>
                                <w:b/>
                                <w:color w:val="000000"/>
                                <w:sz w:val="24"/>
                              </w:rPr>
                              <w:t>recorded</w:t>
                            </w:r>
                            <w:r>
                              <w:rPr>
                                <w:b/>
                                <w:color w:val="000000"/>
                                <w:spacing w:val="-1"/>
                                <w:sz w:val="24"/>
                              </w:rPr>
                              <w:t> </w:t>
                            </w:r>
                            <w:r>
                              <w:rPr>
                                <w:b/>
                                <w:color w:val="000000"/>
                                <w:sz w:val="24"/>
                              </w:rPr>
                              <w:t>by</w:t>
                            </w:r>
                            <w:r>
                              <w:rPr>
                                <w:b/>
                                <w:color w:val="000000"/>
                                <w:spacing w:val="-1"/>
                                <w:sz w:val="24"/>
                              </w:rPr>
                              <w:t> </w:t>
                            </w:r>
                            <w:r>
                              <w:rPr>
                                <w:b/>
                                <w:color w:val="000000"/>
                                <w:sz w:val="24"/>
                              </w:rPr>
                              <w:t>the</w:t>
                            </w:r>
                            <w:r>
                              <w:rPr>
                                <w:b/>
                                <w:color w:val="000000"/>
                                <w:spacing w:val="-3"/>
                                <w:sz w:val="24"/>
                              </w:rPr>
                              <w:t> </w:t>
                            </w:r>
                            <w:r>
                              <w:rPr>
                                <w:b/>
                                <w:color w:val="000000"/>
                                <w:sz w:val="24"/>
                              </w:rPr>
                              <w:t>taxpayer</w:t>
                            </w:r>
                            <w:r>
                              <w:rPr>
                                <w:b/>
                                <w:color w:val="000000"/>
                                <w:spacing w:val="-2"/>
                                <w:sz w:val="24"/>
                              </w:rPr>
                              <w:t> </w:t>
                            </w:r>
                            <w:r>
                              <w:rPr>
                                <w:b/>
                                <w:color w:val="000000"/>
                                <w:sz w:val="24"/>
                              </w:rPr>
                              <w:t>in</w:t>
                            </w:r>
                            <w:r>
                              <w:rPr>
                                <w:b/>
                                <w:color w:val="000000"/>
                                <w:spacing w:val="-1"/>
                                <w:sz w:val="24"/>
                              </w:rPr>
                              <w:t> </w:t>
                            </w:r>
                            <w:r>
                              <w:rPr>
                                <w:b/>
                                <w:color w:val="000000"/>
                                <w:sz w:val="24"/>
                              </w:rPr>
                              <w:t>any</w:t>
                            </w:r>
                            <w:r>
                              <w:rPr>
                                <w:b/>
                                <w:color w:val="000000"/>
                                <w:spacing w:val="-1"/>
                                <w:sz w:val="24"/>
                              </w:rPr>
                              <w:t> </w:t>
                            </w:r>
                            <w:r>
                              <w:rPr>
                                <w:b/>
                                <w:color w:val="000000"/>
                                <w:spacing w:val="-2"/>
                                <w:sz w:val="24"/>
                              </w:rPr>
                              <w:t>logbook.</w:t>
                            </w:r>
                          </w:p>
                        </w:txbxContent>
                      </wps:txbx>
                      <wps:bodyPr wrap="square" lIns="0" tIns="0" rIns="0" bIns="0" rtlCol="0">
                        <a:noAutofit/>
                      </wps:bodyPr>
                    </wps:wsp>
                  </a:graphicData>
                </a:graphic>
              </wp:inline>
            </w:drawing>
          </mc:Choice>
          <mc:Fallback>
            <w:pict>
              <v:shape style="width:793.85pt;height:37.5pt;mso-position-horizontal-relative:char;mso-position-vertical-relative:line" type="#_x0000_t202" id="docshape4" filled="true" fillcolor="#d3d3d3" stroked="false">
                <w10:anchorlock/>
                <v:textbox inset="0,0,0,0">
                  <w:txbxContent>
                    <w:p>
                      <w:pPr>
                        <w:spacing w:before="206"/>
                        <w:ind w:left="141" w:right="0" w:firstLine="0"/>
                        <w:jc w:val="left"/>
                        <w:rPr>
                          <w:b/>
                          <w:color w:val="000000"/>
                          <w:sz w:val="24"/>
                        </w:rPr>
                      </w:pPr>
                      <w:r>
                        <w:rPr>
                          <w:b/>
                          <w:color w:val="000000"/>
                          <w:sz w:val="24"/>
                        </w:rPr>
                        <w:t>The</w:t>
                      </w:r>
                      <w:r>
                        <w:rPr>
                          <w:b/>
                          <w:color w:val="000000"/>
                          <w:spacing w:val="-3"/>
                          <w:sz w:val="24"/>
                        </w:rPr>
                        <w:t> </w:t>
                      </w:r>
                      <w:r>
                        <w:rPr>
                          <w:b/>
                          <w:color w:val="000000"/>
                          <w:sz w:val="24"/>
                        </w:rPr>
                        <w:t>South</w:t>
                      </w:r>
                      <w:r>
                        <w:rPr>
                          <w:b/>
                          <w:color w:val="000000"/>
                          <w:spacing w:val="-1"/>
                          <w:sz w:val="24"/>
                        </w:rPr>
                        <w:t> </w:t>
                      </w:r>
                      <w:r>
                        <w:rPr>
                          <w:b/>
                          <w:color w:val="000000"/>
                          <w:sz w:val="24"/>
                        </w:rPr>
                        <w:t>African</w:t>
                      </w:r>
                      <w:r>
                        <w:rPr>
                          <w:b/>
                          <w:color w:val="000000"/>
                          <w:spacing w:val="-1"/>
                          <w:sz w:val="24"/>
                        </w:rPr>
                        <w:t> </w:t>
                      </w:r>
                      <w:r>
                        <w:rPr>
                          <w:b/>
                          <w:color w:val="000000"/>
                          <w:sz w:val="24"/>
                        </w:rPr>
                        <w:t>Revenue</w:t>
                      </w:r>
                      <w:r>
                        <w:rPr>
                          <w:b/>
                          <w:color w:val="000000"/>
                          <w:spacing w:val="-3"/>
                          <w:sz w:val="24"/>
                        </w:rPr>
                        <w:t> </w:t>
                      </w:r>
                      <w:r>
                        <w:rPr>
                          <w:b/>
                          <w:color w:val="000000"/>
                          <w:sz w:val="24"/>
                        </w:rPr>
                        <w:t>Service</w:t>
                      </w:r>
                      <w:r>
                        <w:rPr>
                          <w:b/>
                          <w:color w:val="000000"/>
                          <w:spacing w:val="-2"/>
                          <w:sz w:val="24"/>
                        </w:rPr>
                        <w:t> </w:t>
                      </w:r>
                      <w:r>
                        <w:rPr>
                          <w:b/>
                          <w:color w:val="000000"/>
                          <w:sz w:val="24"/>
                        </w:rPr>
                        <w:t>reserves</w:t>
                      </w:r>
                      <w:r>
                        <w:rPr>
                          <w:b/>
                          <w:color w:val="000000"/>
                          <w:spacing w:val="-1"/>
                          <w:sz w:val="24"/>
                        </w:rPr>
                        <w:t> </w:t>
                      </w:r>
                      <w:r>
                        <w:rPr>
                          <w:b/>
                          <w:color w:val="000000"/>
                          <w:sz w:val="24"/>
                        </w:rPr>
                        <w:t>the</w:t>
                      </w:r>
                      <w:r>
                        <w:rPr>
                          <w:b/>
                          <w:color w:val="000000"/>
                          <w:spacing w:val="-2"/>
                          <w:sz w:val="24"/>
                        </w:rPr>
                        <w:t> </w:t>
                      </w:r>
                      <w:r>
                        <w:rPr>
                          <w:b/>
                          <w:color w:val="000000"/>
                          <w:sz w:val="24"/>
                        </w:rPr>
                        <w:t>right</w:t>
                      </w:r>
                      <w:r>
                        <w:rPr>
                          <w:b/>
                          <w:color w:val="000000"/>
                          <w:spacing w:val="-2"/>
                          <w:sz w:val="24"/>
                        </w:rPr>
                        <w:t> </w:t>
                      </w:r>
                      <w:r>
                        <w:rPr>
                          <w:b/>
                          <w:color w:val="000000"/>
                          <w:sz w:val="24"/>
                        </w:rPr>
                        <w:t>to</w:t>
                      </w:r>
                      <w:r>
                        <w:rPr>
                          <w:b/>
                          <w:color w:val="000000"/>
                          <w:spacing w:val="-1"/>
                          <w:sz w:val="24"/>
                        </w:rPr>
                        <w:t> </w:t>
                      </w:r>
                      <w:r>
                        <w:rPr>
                          <w:b/>
                          <w:color w:val="000000"/>
                          <w:sz w:val="24"/>
                        </w:rPr>
                        <w:t>audit</w:t>
                      </w:r>
                      <w:r>
                        <w:rPr>
                          <w:b/>
                          <w:color w:val="000000"/>
                          <w:spacing w:val="-1"/>
                          <w:sz w:val="24"/>
                        </w:rPr>
                        <w:t> </w:t>
                      </w:r>
                      <w:r>
                        <w:rPr>
                          <w:b/>
                          <w:color w:val="000000"/>
                          <w:sz w:val="24"/>
                        </w:rPr>
                        <w:t>and</w:t>
                      </w:r>
                      <w:r>
                        <w:rPr>
                          <w:b/>
                          <w:color w:val="000000"/>
                          <w:spacing w:val="-1"/>
                          <w:sz w:val="24"/>
                        </w:rPr>
                        <w:t> </w:t>
                      </w:r>
                      <w:r>
                        <w:rPr>
                          <w:b/>
                          <w:color w:val="000000"/>
                          <w:sz w:val="24"/>
                        </w:rPr>
                        <w:t>query</w:t>
                      </w:r>
                      <w:r>
                        <w:rPr>
                          <w:b/>
                          <w:color w:val="000000"/>
                          <w:spacing w:val="-2"/>
                          <w:sz w:val="24"/>
                        </w:rPr>
                        <w:t> </w:t>
                      </w:r>
                      <w:r>
                        <w:rPr>
                          <w:b/>
                          <w:color w:val="000000"/>
                          <w:sz w:val="24"/>
                        </w:rPr>
                        <w:t>the</w:t>
                      </w:r>
                      <w:r>
                        <w:rPr>
                          <w:b/>
                          <w:color w:val="000000"/>
                          <w:spacing w:val="-2"/>
                          <w:sz w:val="24"/>
                        </w:rPr>
                        <w:t> </w:t>
                      </w:r>
                      <w:r>
                        <w:rPr>
                          <w:b/>
                          <w:color w:val="000000"/>
                          <w:sz w:val="24"/>
                        </w:rPr>
                        <w:t>content</w:t>
                      </w:r>
                      <w:r>
                        <w:rPr>
                          <w:b/>
                          <w:color w:val="000000"/>
                          <w:spacing w:val="-1"/>
                          <w:sz w:val="24"/>
                        </w:rPr>
                        <w:t> </w:t>
                      </w:r>
                      <w:r>
                        <w:rPr>
                          <w:b/>
                          <w:color w:val="000000"/>
                          <w:sz w:val="24"/>
                        </w:rPr>
                        <w:t>or</w:t>
                      </w:r>
                      <w:r>
                        <w:rPr>
                          <w:b/>
                          <w:color w:val="000000"/>
                          <w:spacing w:val="-3"/>
                          <w:sz w:val="24"/>
                        </w:rPr>
                        <w:t> </w:t>
                      </w:r>
                      <w:r>
                        <w:rPr>
                          <w:b/>
                          <w:color w:val="000000"/>
                          <w:sz w:val="24"/>
                        </w:rPr>
                        <w:t>information</w:t>
                      </w:r>
                      <w:r>
                        <w:rPr>
                          <w:b/>
                          <w:color w:val="000000"/>
                          <w:spacing w:val="-1"/>
                          <w:sz w:val="24"/>
                        </w:rPr>
                        <w:t> </w:t>
                      </w:r>
                      <w:r>
                        <w:rPr>
                          <w:b/>
                          <w:color w:val="000000"/>
                          <w:sz w:val="24"/>
                        </w:rPr>
                        <w:t>recorded</w:t>
                      </w:r>
                      <w:r>
                        <w:rPr>
                          <w:b/>
                          <w:color w:val="000000"/>
                          <w:spacing w:val="-1"/>
                          <w:sz w:val="24"/>
                        </w:rPr>
                        <w:t> </w:t>
                      </w:r>
                      <w:r>
                        <w:rPr>
                          <w:b/>
                          <w:color w:val="000000"/>
                          <w:sz w:val="24"/>
                        </w:rPr>
                        <w:t>by</w:t>
                      </w:r>
                      <w:r>
                        <w:rPr>
                          <w:b/>
                          <w:color w:val="000000"/>
                          <w:spacing w:val="-1"/>
                          <w:sz w:val="24"/>
                        </w:rPr>
                        <w:t> </w:t>
                      </w:r>
                      <w:r>
                        <w:rPr>
                          <w:b/>
                          <w:color w:val="000000"/>
                          <w:sz w:val="24"/>
                        </w:rPr>
                        <w:t>the</w:t>
                      </w:r>
                      <w:r>
                        <w:rPr>
                          <w:b/>
                          <w:color w:val="000000"/>
                          <w:spacing w:val="-3"/>
                          <w:sz w:val="24"/>
                        </w:rPr>
                        <w:t> </w:t>
                      </w:r>
                      <w:r>
                        <w:rPr>
                          <w:b/>
                          <w:color w:val="000000"/>
                          <w:sz w:val="24"/>
                        </w:rPr>
                        <w:t>taxpayer</w:t>
                      </w:r>
                      <w:r>
                        <w:rPr>
                          <w:b/>
                          <w:color w:val="000000"/>
                          <w:spacing w:val="-2"/>
                          <w:sz w:val="24"/>
                        </w:rPr>
                        <w:t> </w:t>
                      </w:r>
                      <w:r>
                        <w:rPr>
                          <w:b/>
                          <w:color w:val="000000"/>
                          <w:sz w:val="24"/>
                        </w:rPr>
                        <w:t>in</w:t>
                      </w:r>
                      <w:r>
                        <w:rPr>
                          <w:b/>
                          <w:color w:val="000000"/>
                          <w:spacing w:val="-1"/>
                          <w:sz w:val="24"/>
                        </w:rPr>
                        <w:t> </w:t>
                      </w:r>
                      <w:r>
                        <w:rPr>
                          <w:b/>
                          <w:color w:val="000000"/>
                          <w:sz w:val="24"/>
                        </w:rPr>
                        <w:t>any</w:t>
                      </w:r>
                      <w:r>
                        <w:rPr>
                          <w:b/>
                          <w:color w:val="000000"/>
                          <w:spacing w:val="-1"/>
                          <w:sz w:val="24"/>
                        </w:rPr>
                        <w:t> </w:t>
                      </w:r>
                      <w:r>
                        <w:rPr>
                          <w:b/>
                          <w:color w:val="000000"/>
                          <w:spacing w:val="-2"/>
                          <w:sz w:val="24"/>
                        </w:rPr>
                        <w:t>logbook.</w:t>
                      </w:r>
                    </w:p>
                  </w:txbxContent>
                </v:textbox>
                <v:fill type="solid"/>
              </v:shape>
            </w:pict>
          </mc:Fallback>
        </mc:AlternateContent>
      </w:r>
      <w:r>
        <w:rPr>
          <w:sz w:val="20"/>
        </w:rPr>
      </w:r>
    </w:p>
    <w:p>
      <w:pPr>
        <w:spacing w:after="0" w:line="240" w:lineRule="auto"/>
        <w:rPr>
          <w:sz w:val="20"/>
        </w:rPr>
        <w:sectPr>
          <w:type w:val="continuous"/>
          <w:pgSz w:w="16840" w:h="11910" w:orient="landscape"/>
          <w:pgMar w:top="20" w:bottom="0" w:left="0" w:right="0"/>
        </w:sectPr>
      </w:pPr>
    </w:p>
    <w:p>
      <w:pPr>
        <w:spacing w:line="240" w:lineRule="auto"/>
        <w:ind w:left="0" w:right="-15" w:firstLine="0"/>
        <w:rPr>
          <w:sz w:val="20"/>
        </w:rPr>
      </w:pPr>
      <w:r>
        <w:rPr>
          <w:sz w:val="20"/>
        </w:rPr>
        <mc:AlternateContent>
          <mc:Choice Requires="wps">
            <w:drawing>
              <wp:inline distT="0" distB="0" distL="0" distR="0">
                <wp:extent cx="10668000" cy="467995"/>
                <wp:effectExtent l="0" t="0" r="0" b="8254"/>
                <wp:docPr id="6" name="Group 6"/>
                <wp:cNvGraphicFramePr>
                  <a:graphicFrameLocks/>
                </wp:cNvGraphicFramePr>
                <a:graphic>
                  <a:graphicData uri="http://schemas.microsoft.com/office/word/2010/wordprocessingGroup">
                    <wpg:wgp>
                      <wpg:cNvPr id="6" name="Group 6"/>
                      <wpg:cNvGrpSpPr/>
                      <wpg:grpSpPr>
                        <a:xfrm>
                          <a:off x="0" y="0"/>
                          <a:ext cx="10668000" cy="467995"/>
                          <a:chExt cx="10668000" cy="467995"/>
                        </a:xfrm>
                      </wpg:grpSpPr>
                      <wps:wsp>
                        <wps:cNvPr id="7" name="Graphic 7"/>
                        <wps:cNvSpPr/>
                        <wps:spPr>
                          <a:xfrm>
                            <a:off x="0" y="0"/>
                            <a:ext cx="10668000" cy="467995"/>
                          </a:xfrm>
                          <a:custGeom>
                            <a:avLst/>
                            <a:gdLst/>
                            <a:ahLst/>
                            <a:cxnLst/>
                            <a:rect l="l" t="t" r="r" b="b"/>
                            <a:pathLst>
                              <a:path w="10668000" h="467995">
                                <a:moveTo>
                                  <a:pt x="10667885" y="0"/>
                                </a:moveTo>
                                <a:lnTo>
                                  <a:pt x="0" y="0"/>
                                </a:lnTo>
                                <a:lnTo>
                                  <a:pt x="0" y="467995"/>
                                </a:lnTo>
                                <a:lnTo>
                                  <a:pt x="10667885" y="467995"/>
                                </a:lnTo>
                                <a:lnTo>
                                  <a:pt x="10667885"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0"/>
                            <a:ext cx="10668000" cy="467995"/>
                          </a:xfrm>
                          <a:prstGeom prst="rect">
                            <a:avLst/>
                          </a:prstGeom>
                        </wps:spPr>
                        <wps:txbx>
                          <w:txbxContent>
                            <w:p>
                              <w:pPr>
                                <w:spacing w:before="161"/>
                                <w:ind w:left="396" w:right="0" w:firstLine="0"/>
                                <w:jc w:val="left"/>
                                <w:rPr>
                                  <w:rFonts w:ascii="Arial"/>
                                  <w:b/>
                                  <w:sz w:val="32"/>
                                </w:rPr>
                              </w:pPr>
                              <w:r>
                                <w:rPr>
                                  <w:rFonts w:ascii="Arial"/>
                                  <w:b/>
                                  <w:color w:val="FFFFFF"/>
                                  <w:sz w:val="32"/>
                                </w:rPr>
                                <w:t>Fixed</w:t>
                              </w:r>
                              <w:r>
                                <w:rPr>
                                  <w:rFonts w:ascii="Arial"/>
                                  <w:b/>
                                  <w:color w:val="FFFFFF"/>
                                  <w:spacing w:val="-2"/>
                                  <w:sz w:val="32"/>
                                </w:rPr>
                                <w:t> </w:t>
                              </w:r>
                              <w:r>
                                <w:rPr>
                                  <w:rFonts w:ascii="Arial"/>
                                  <w:b/>
                                  <w:color w:val="FFFFFF"/>
                                  <w:sz w:val="32"/>
                                </w:rPr>
                                <w:t>Cost</w:t>
                              </w:r>
                              <w:r>
                                <w:rPr>
                                  <w:rFonts w:ascii="Arial"/>
                                  <w:b/>
                                  <w:color w:val="FFFFFF"/>
                                  <w:spacing w:val="-1"/>
                                  <w:sz w:val="32"/>
                                </w:rPr>
                                <w:t> </w:t>
                              </w:r>
                              <w:r>
                                <w:rPr>
                                  <w:rFonts w:ascii="Arial"/>
                                  <w:b/>
                                  <w:color w:val="FFFFFF"/>
                                  <w:sz w:val="32"/>
                                </w:rPr>
                                <w:t>Table:</w:t>
                              </w:r>
                              <w:r>
                                <w:rPr>
                                  <w:rFonts w:ascii="Arial"/>
                                  <w:b/>
                                  <w:color w:val="FFFFFF"/>
                                  <w:spacing w:val="-1"/>
                                  <w:sz w:val="32"/>
                                </w:rPr>
                                <w:t> </w:t>
                              </w:r>
                              <w:r>
                                <w:rPr>
                                  <w:rFonts w:ascii="Arial"/>
                                  <w:b/>
                                  <w:color w:val="FFFFFF"/>
                                  <w:sz w:val="32"/>
                                </w:rPr>
                                <w:t>1</w:t>
                              </w:r>
                              <w:r>
                                <w:rPr>
                                  <w:rFonts w:ascii="Arial"/>
                                  <w:b/>
                                  <w:color w:val="FFFFFF"/>
                                  <w:spacing w:val="-1"/>
                                  <w:sz w:val="32"/>
                                </w:rPr>
                                <w:t> </w:t>
                              </w:r>
                              <w:r>
                                <w:rPr>
                                  <w:rFonts w:ascii="Arial"/>
                                  <w:b/>
                                  <w:color w:val="FFFFFF"/>
                                  <w:sz w:val="32"/>
                                </w:rPr>
                                <w:t>March</w:t>
                              </w:r>
                              <w:r>
                                <w:rPr>
                                  <w:rFonts w:ascii="Arial"/>
                                  <w:b/>
                                  <w:color w:val="FFFFFF"/>
                                  <w:spacing w:val="-2"/>
                                  <w:sz w:val="32"/>
                                </w:rPr>
                                <w:t> </w:t>
                              </w:r>
                              <w:r>
                                <w:rPr>
                                  <w:rFonts w:ascii="Arial"/>
                                  <w:b/>
                                  <w:color w:val="FFFFFF"/>
                                  <w:sz w:val="32"/>
                                </w:rPr>
                                <w:t>2025</w:t>
                              </w:r>
                              <w:r>
                                <w:rPr>
                                  <w:rFonts w:ascii="Arial"/>
                                  <w:b/>
                                  <w:color w:val="FFFFFF"/>
                                  <w:spacing w:val="-1"/>
                                  <w:sz w:val="32"/>
                                </w:rPr>
                                <w:t> </w:t>
                              </w:r>
                              <w:r>
                                <w:rPr>
                                  <w:rFonts w:ascii="Arial"/>
                                  <w:b/>
                                  <w:color w:val="FFFFFF"/>
                                  <w:sz w:val="32"/>
                                </w:rPr>
                                <w:t>-</w:t>
                              </w:r>
                              <w:r>
                                <w:rPr>
                                  <w:rFonts w:ascii="Arial"/>
                                  <w:b/>
                                  <w:color w:val="FFFFFF"/>
                                  <w:spacing w:val="-1"/>
                                  <w:sz w:val="32"/>
                                </w:rPr>
                                <w:t> </w:t>
                              </w:r>
                              <w:r>
                                <w:rPr>
                                  <w:rFonts w:ascii="Arial"/>
                                  <w:b/>
                                  <w:color w:val="FFFFFF"/>
                                  <w:sz w:val="32"/>
                                </w:rPr>
                                <w:t>29</w:t>
                              </w:r>
                              <w:r>
                                <w:rPr>
                                  <w:rFonts w:ascii="Arial"/>
                                  <w:b/>
                                  <w:color w:val="FFFFFF"/>
                                  <w:spacing w:val="-1"/>
                                  <w:sz w:val="32"/>
                                </w:rPr>
                                <w:t> </w:t>
                              </w:r>
                              <w:r>
                                <w:rPr>
                                  <w:rFonts w:ascii="Arial"/>
                                  <w:b/>
                                  <w:color w:val="FFFFFF"/>
                                  <w:sz w:val="32"/>
                                </w:rPr>
                                <w:t>February</w:t>
                              </w:r>
                              <w:r>
                                <w:rPr>
                                  <w:rFonts w:ascii="Arial"/>
                                  <w:b/>
                                  <w:color w:val="FFFFFF"/>
                                  <w:spacing w:val="-1"/>
                                  <w:sz w:val="32"/>
                                </w:rPr>
                                <w:t> </w:t>
                              </w:r>
                              <w:r>
                                <w:rPr>
                                  <w:rFonts w:ascii="Arial"/>
                                  <w:b/>
                                  <w:color w:val="FFFFFF"/>
                                  <w:spacing w:val="-4"/>
                                  <w:sz w:val="32"/>
                                </w:rPr>
                                <w:t>2026</w:t>
                              </w:r>
                            </w:p>
                          </w:txbxContent>
                        </wps:txbx>
                        <wps:bodyPr wrap="square" lIns="0" tIns="0" rIns="0" bIns="0" rtlCol="0">
                          <a:noAutofit/>
                        </wps:bodyPr>
                      </wps:wsp>
                    </wpg:wgp>
                  </a:graphicData>
                </a:graphic>
              </wp:inline>
            </w:drawing>
          </mc:Choice>
          <mc:Fallback>
            <w:pict>
              <v:group style="width:840pt;height:36.85pt;mso-position-horizontal-relative:char;mso-position-vertical-relative:line" id="docshapegroup5" coordorigin="0,0" coordsize="16800,737">
                <v:rect style="position:absolute;left:0;top:0;width:16800;height:737" id="docshape6" filled="true" fillcolor="#000000" stroked="false">
                  <v:fill type="solid"/>
                </v:rect>
                <v:shape style="position:absolute;left:0;top:0;width:16800;height:737" type="#_x0000_t202" id="docshape7" filled="false" stroked="false">
                  <v:textbox inset="0,0,0,0">
                    <w:txbxContent>
                      <w:p>
                        <w:pPr>
                          <w:spacing w:before="161"/>
                          <w:ind w:left="396" w:right="0" w:firstLine="0"/>
                          <w:jc w:val="left"/>
                          <w:rPr>
                            <w:rFonts w:ascii="Arial"/>
                            <w:b/>
                            <w:sz w:val="32"/>
                          </w:rPr>
                        </w:pPr>
                        <w:r>
                          <w:rPr>
                            <w:rFonts w:ascii="Arial"/>
                            <w:b/>
                            <w:color w:val="FFFFFF"/>
                            <w:sz w:val="32"/>
                          </w:rPr>
                          <w:t>Fixed</w:t>
                        </w:r>
                        <w:r>
                          <w:rPr>
                            <w:rFonts w:ascii="Arial"/>
                            <w:b/>
                            <w:color w:val="FFFFFF"/>
                            <w:spacing w:val="-2"/>
                            <w:sz w:val="32"/>
                          </w:rPr>
                          <w:t> </w:t>
                        </w:r>
                        <w:r>
                          <w:rPr>
                            <w:rFonts w:ascii="Arial"/>
                            <w:b/>
                            <w:color w:val="FFFFFF"/>
                            <w:sz w:val="32"/>
                          </w:rPr>
                          <w:t>Cost</w:t>
                        </w:r>
                        <w:r>
                          <w:rPr>
                            <w:rFonts w:ascii="Arial"/>
                            <w:b/>
                            <w:color w:val="FFFFFF"/>
                            <w:spacing w:val="-1"/>
                            <w:sz w:val="32"/>
                          </w:rPr>
                          <w:t> </w:t>
                        </w:r>
                        <w:r>
                          <w:rPr>
                            <w:rFonts w:ascii="Arial"/>
                            <w:b/>
                            <w:color w:val="FFFFFF"/>
                            <w:sz w:val="32"/>
                          </w:rPr>
                          <w:t>Table:</w:t>
                        </w:r>
                        <w:r>
                          <w:rPr>
                            <w:rFonts w:ascii="Arial"/>
                            <w:b/>
                            <w:color w:val="FFFFFF"/>
                            <w:spacing w:val="-1"/>
                            <w:sz w:val="32"/>
                          </w:rPr>
                          <w:t> </w:t>
                        </w:r>
                        <w:r>
                          <w:rPr>
                            <w:rFonts w:ascii="Arial"/>
                            <w:b/>
                            <w:color w:val="FFFFFF"/>
                            <w:sz w:val="32"/>
                          </w:rPr>
                          <w:t>1</w:t>
                        </w:r>
                        <w:r>
                          <w:rPr>
                            <w:rFonts w:ascii="Arial"/>
                            <w:b/>
                            <w:color w:val="FFFFFF"/>
                            <w:spacing w:val="-1"/>
                            <w:sz w:val="32"/>
                          </w:rPr>
                          <w:t> </w:t>
                        </w:r>
                        <w:r>
                          <w:rPr>
                            <w:rFonts w:ascii="Arial"/>
                            <w:b/>
                            <w:color w:val="FFFFFF"/>
                            <w:sz w:val="32"/>
                          </w:rPr>
                          <w:t>March</w:t>
                        </w:r>
                        <w:r>
                          <w:rPr>
                            <w:rFonts w:ascii="Arial"/>
                            <w:b/>
                            <w:color w:val="FFFFFF"/>
                            <w:spacing w:val="-2"/>
                            <w:sz w:val="32"/>
                          </w:rPr>
                          <w:t> </w:t>
                        </w:r>
                        <w:r>
                          <w:rPr>
                            <w:rFonts w:ascii="Arial"/>
                            <w:b/>
                            <w:color w:val="FFFFFF"/>
                            <w:sz w:val="32"/>
                          </w:rPr>
                          <w:t>2025</w:t>
                        </w:r>
                        <w:r>
                          <w:rPr>
                            <w:rFonts w:ascii="Arial"/>
                            <w:b/>
                            <w:color w:val="FFFFFF"/>
                            <w:spacing w:val="-1"/>
                            <w:sz w:val="32"/>
                          </w:rPr>
                          <w:t> </w:t>
                        </w:r>
                        <w:r>
                          <w:rPr>
                            <w:rFonts w:ascii="Arial"/>
                            <w:b/>
                            <w:color w:val="FFFFFF"/>
                            <w:sz w:val="32"/>
                          </w:rPr>
                          <w:t>-</w:t>
                        </w:r>
                        <w:r>
                          <w:rPr>
                            <w:rFonts w:ascii="Arial"/>
                            <w:b/>
                            <w:color w:val="FFFFFF"/>
                            <w:spacing w:val="-1"/>
                            <w:sz w:val="32"/>
                          </w:rPr>
                          <w:t> </w:t>
                        </w:r>
                        <w:r>
                          <w:rPr>
                            <w:rFonts w:ascii="Arial"/>
                            <w:b/>
                            <w:color w:val="FFFFFF"/>
                            <w:sz w:val="32"/>
                          </w:rPr>
                          <w:t>29</w:t>
                        </w:r>
                        <w:r>
                          <w:rPr>
                            <w:rFonts w:ascii="Arial"/>
                            <w:b/>
                            <w:color w:val="FFFFFF"/>
                            <w:spacing w:val="-1"/>
                            <w:sz w:val="32"/>
                          </w:rPr>
                          <w:t> </w:t>
                        </w:r>
                        <w:r>
                          <w:rPr>
                            <w:rFonts w:ascii="Arial"/>
                            <w:b/>
                            <w:color w:val="FFFFFF"/>
                            <w:sz w:val="32"/>
                          </w:rPr>
                          <w:t>February</w:t>
                        </w:r>
                        <w:r>
                          <w:rPr>
                            <w:rFonts w:ascii="Arial"/>
                            <w:b/>
                            <w:color w:val="FFFFFF"/>
                            <w:spacing w:val="-1"/>
                            <w:sz w:val="32"/>
                          </w:rPr>
                          <w:t> </w:t>
                        </w:r>
                        <w:r>
                          <w:rPr>
                            <w:rFonts w:ascii="Arial"/>
                            <w:b/>
                            <w:color w:val="FFFFFF"/>
                            <w:spacing w:val="-4"/>
                            <w:sz w:val="32"/>
                          </w:rPr>
                          <w:t>2026</w:t>
                        </w:r>
                      </w:p>
                    </w:txbxContent>
                  </v:textbox>
                  <w10:wrap type="none"/>
                </v:shape>
              </v:group>
            </w:pict>
          </mc:Fallback>
        </mc:AlternateContent>
      </w:r>
      <w:r>
        <w:rPr>
          <w:sz w:val="20"/>
        </w:rPr>
      </w:r>
    </w:p>
    <w:p>
      <w:pPr>
        <w:spacing w:after="0" w:line="240" w:lineRule="auto"/>
        <w:rPr>
          <w:sz w:val="20"/>
        </w:rPr>
        <w:sectPr>
          <w:pgSz w:w="16840" w:h="11910" w:orient="landscape"/>
          <w:pgMar w:top="20" w:bottom="280" w:left="0" w:right="0"/>
        </w:sectPr>
      </w:pPr>
    </w:p>
    <w:p>
      <w:pPr>
        <w:pStyle w:val="BodyText"/>
        <w:spacing w:line="182" w:lineRule="auto" w:before="134"/>
        <w:ind w:left="431" w:right="94"/>
        <w:jc w:val="both"/>
      </w:pPr>
      <w:r>
        <w:rPr/>
        <w:t>Rates per kilometre, which may be used in determining the allowable deduction for business travel against an allowance or advance where actual costs are not claimed, are determined by using the following table:</w:t>
      </w:r>
    </w:p>
    <w:p>
      <w:pPr>
        <w:pStyle w:val="BodyText"/>
        <w:spacing w:after="1"/>
        <w:rPr>
          <w:sz w:val="13"/>
        </w:rPr>
      </w:pPr>
    </w:p>
    <w:tbl>
      <w:tblPr>
        <w:tblW w:w="0" w:type="auto"/>
        <w:jc w:val="left"/>
        <w:tblInd w:w="417" w:type="dxa"/>
        <w:tblBorders>
          <w:top w:val="single" w:sz="12" w:space="0" w:color="939393"/>
          <w:left w:val="single" w:sz="12" w:space="0" w:color="939393"/>
          <w:bottom w:val="single" w:sz="12" w:space="0" w:color="939393"/>
          <w:right w:val="single" w:sz="12" w:space="0" w:color="939393"/>
          <w:insideH w:val="single" w:sz="12" w:space="0" w:color="939393"/>
          <w:insideV w:val="single" w:sz="12" w:space="0" w:color="939393"/>
        </w:tblBorders>
        <w:tblLayout w:type="fixed"/>
        <w:tblCellMar>
          <w:top w:w="0" w:type="dxa"/>
          <w:left w:w="0" w:type="dxa"/>
          <w:bottom w:w="0" w:type="dxa"/>
          <w:right w:w="0" w:type="dxa"/>
        </w:tblCellMar>
        <w:tblLook w:val="01E0"/>
      </w:tblPr>
      <w:tblGrid>
        <w:gridCol w:w="2151"/>
        <w:gridCol w:w="1627"/>
        <w:gridCol w:w="1641"/>
        <w:gridCol w:w="1617"/>
      </w:tblGrid>
      <w:tr>
        <w:trPr>
          <w:trHeight w:val="551" w:hRule="atLeast"/>
        </w:trPr>
        <w:tc>
          <w:tcPr>
            <w:tcW w:w="2151" w:type="dxa"/>
            <w:tcBorders>
              <w:bottom w:val="nil"/>
              <w:right w:val="nil"/>
            </w:tcBorders>
            <w:shd w:val="clear" w:color="auto" w:fill="000000"/>
          </w:tcPr>
          <w:p>
            <w:pPr>
              <w:pStyle w:val="TableParagraph"/>
              <w:spacing w:line="248" w:lineRule="exact"/>
              <w:ind w:left="56"/>
              <w:rPr>
                <w:rFonts w:ascii="Calibri"/>
                <w:b/>
                <w:sz w:val="22"/>
              </w:rPr>
            </w:pPr>
            <w:r>
              <w:rPr>
                <w:rFonts w:ascii="Calibri"/>
                <w:b/>
                <w:color w:val="FFFFFF"/>
                <w:sz w:val="22"/>
              </w:rPr>
              <w:t>Where</w:t>
            </w:r>
            <w:r>
              <w:rPr>
                <w:rFonts w:ascii="Calibri"/>
                <w:b/>
                <w:color w:val="FFFFFF"/>
                <w:spacing w:val="-5"/>
                <w:sz w:val="22"/>
              </w:rPr>
              <w:t> </w:t>
            </w:r>
            <w:r>
              <w:rPr>
                <w:rFonts w:ascii="Calibri"/>
                <w:b/>
                <w:color w:val="FFFFFF"/>
                <w:sz w:val="22"/>
              </w:rPr>
              <w:t>the</w:t>
            </w:r>
            <w:r>
              <w:rPr>
                <w:rFonts w:ascii="Calibri"/>
                <w:b/>
                <w:color w:val="FFFFFF"/>
                <w:spacing w:val="-4"/>
                <w:sz w:val="22"/>
              </w:rPr>
              <w:t> </w:t>
            </w:r>
            <w:r>
              <w:rPr>
                <w:rFonts w:ascii="Calibri"/>
                <w:b/>
                <w:color w:val="FFFFFF"/>
                <w:sz w:val="22"/>
              </w:rPr>
              <w:t>value</w:t>
            </w:r>
            <w:r>
              <w:rPr>
                <w:rFonts w:ascii="Calibri"/>
                <w:b/>
                <w:color w:val="FFFFFF"/>
                <w:spacing w:val="-4"/>
                <w:sz w:val="22"/>
              </w:rPr>
              <w:t> </w:t>
            </w:r>
            <w:r>
              <w:rPr>
                <w:rFonts w:ascii="Calibri"/>
                <w:b/>
                <w:color w:val="FFFFFF"/>
                <w:spacing w:val="-5"/>
                <w:sz w:val="22"/>
              </w:rPr>
              <w:t>of</w:t>
            </w:r>
          </w:p>
          <w:p>
            <w:pPr>
              <w:pStyle w:val="TableParagraph"/>
              <w:spacing w:line="266" w:lineRule="exact"/>
              <w:ind w:left="56"/>
              <w:rPr>
                <w:rFonts w:ascii="Calibri"/>
                <w:b/>
                <w:sz w:val="22"/>
              </w:rPr>
            </w:pPr>
            <w:r>
              <w:rPr>
                <w:rFonts w:ascii="Calibri"/>
                <w:b/>
                <w:color w:val="FFFFFF"/>
                <w:sz w:val="22"/>
              </w:rPr>
              <w:t>the</w:t>
            </w:r>
            <w:r>
              <w:rPr>
                <w:rFonts w:ascii="Calibri"/>
                <w:b/>
                <w:color w:val="FFFFFF"/>
                <w:spacing w:val="-3"/>
                <w:sz w:val="22"/>
              </w:rPr>
              <w:t> </w:t>
            </w:r>
            <w:r>
              <w:rPr>
                <w:rFonts w:ascii="Calibri"/>
                <w:b/>
                <w:color w:val="FFFFFF"/>
                <w:spacing w:val="-2"/>
                <w:sz w:val="22"/>
              </w:rPr>
              <w:t>vehicle</w:t>
            </w:r>
          </w:p>
        </w:tc>
        <w:tc>
          <w:tcPr>
            <w:tcW w:w="1627" w:type="dxa"/>
            <w:tcBorders>
              <w:left w:val="nil"/>
              <w:bottom w:val="nil"/>
              <w:right w:val="nil"/>
            </w:tcBorders>
            <w:shd w:val="clear" w:color="auto" w:fill="000000"/>
          </w:tcPr>
          <w:p>
            <w:pPr>
              <w:pStyle w:val="TableParagraph"/>
              <w:spacing w:line="248" w:lineRule="exact"/>
              <w:ind w:left="30"/>
              <w:jc w:val="center"/>
              <w:rPr>
                <w:rFonts w:ascii="Calibri"/>
                <w:b/>
                <w:sz w:val="22"/>
              </w:rPr>
            </w:pPr>
            <w:r>
              <w:rPr>
                <w:rFonts w:ascii="Calibri"/>
                <w:b/>
                <w:color w:val="FFFFFF"/>
                <w:sz w:val="22"/>
              </w:rPr>
              <w:t>Fixed </w:t>
            </w:r>
            <w:r>
              <w:rPr>
                <w:rFonts w:ascii="Calibri"/>
                <w:b/>
                <w:color w:val="FFFFFF"/>
                <w:spacing w:val="-4"/>
                <w:sz w:val="22"/>
              </w:rPr>
              <w:t>cost</w:t>
            </w:r>
          </w:p>
          <w:p>
            <w:pPr>
              <w:pStyle w:val="TableParagraph"/>
              <w:spacing w:line="266" w:lineRule="exact"/>
              <w:ind w:left="30" w:right="1"/>
              <w:jc w:val="center"/>
              <w:rPr>
                <w:rFonts w:ascii="Calibri"/>
                <w:b/>
                <w:sz w:val="22"/>
              </w:rPr>
            </w:pPr>
            <w:r>
              <w:rPr>
                <w:rFonts w:ascii="Calibri"/>
                <w:b/>
                <w:color w:val="FFFFFF"/>
                <w:spacing w:val="-5"/>
                <w:sz w:val="22"/>
              </w:rPr>
              <w:t>(R)</w:t>
            </w:r>
          </w:p>
        </w:tc>
        <w:tc>
          <w:tcPr>
            <w:tcW w:w="1641" w:type="dxa"/>
            <w:tcBorders>
              <w:left w:val="nil"/>
              <w:bottom w:val="nil"/>
              <w:right w:val="nil"/>
            </w:tcBorders>
            <w:shd w:val="clear" w:color="auto" w:fill="000000"/>
          </w:tcPr>
          <w:p>
            <w:pPr>
              <w:pStyle w:val="TableParagraph"/>
              <w:spacing w:line="248" w:lineRule="exact"/>
              <w:ind w:left="430"/>
              <w:rPr>
                <w:rFonts w:ascii="Calibri"/>
                <w:b/>
                <w:sz w:val="22"/>
              </w:rPr>
            </w:pPr>
            <w:r>
              <w:rPr>
                <w:rFonts w:ascii="Calibri"/>
                <w:b/>
                <w:color w:val="FFFFFF"/>
                <w:sz w:val="22"/>
              </w:rPr>
              <w:t>Fuel </w:t>
            </w:r>
            <w:r>
              <w:rPr>
                <w:rFonts w:ascii="Calibri"/>
                <w:b/>
                <w:color w:val="FFFFFF"/>
                <w:spacing w:val="-4"/>
                <w:sz w:val="22"/>
              </w:rPr>
              <w:t>cost</w:t>
            </w:r>
          </w:p>
          <w:p>
            <w:pPr>
              <w:pStyle w:val="TableParagraph"/>
              <w:spacing w:line="266" w:lineRule="exact"/>
              <w:ind w:left="530"/>
              <w:rPr>
                <w:rFonts w:ascii="Calibri"/>
                <w:b/>
                <w:sz w:val="22"/>
              </w:rPr>
            </w:pPr>
            <w:r>
              <w:rPr>
                <w:rFonts w:ascii="Calibri"/>
                <w:b/>
                <w:color w:val="FFFFFF"/>
                <w:spacing w:val="-2"/>
                <w:sz w:val="22"/>
              </w:rPr>
              <w:t>(c/km)</w:t>
            </w:r>
          </w:p>
        </w:tc>
        <w:tc>
          <w:tcPr>
            <w:tcW w:w="1617" w:type="dxa"/>
            <w:tcBorders>
              <w:left w:val="nil"/>
              <w:bottom w:val="nil"/>
            </w:tcBorders>
            <w:shd w:val="clear" w:color="auto" w:fill="000000"/>
          </w:tcPr>
          <w:p>
            <w:pPr>
              <w:pStyle w:val="TableParagraph"/>
              <w:spacing w:line="248" w:lineRule="exact"/>
              <w:ind w:left="218"/>
              <w:rPr>
                <w:rFonts w:ascii="Calibri"/>
                <w:b/>
                <w:sz w:val="22"/>
              </w:rPr>
            </w:pPr>
            <w:r>
              <w:rPr>
                <w:rFonts w:ascii="Calibri"/>
                <w:b/>
                <w:color w:val="FFFFFF"/>
                <w:spacing w:val="-2"/>
                <w:sz w:val="22"/>
              </w:rPr>
              <w:t>Maintenance</w:t>
            </w:r>
          </w:p>
          <w:p>
            <w:pPr>
              <w:pStyle w:val="TableParagraph"/>
              <w:spacing w:line="266" w:lineRule="exact"/>
              <w:ind w:left="306"/>
              <w:rPr>
                <w:rFonts w:ascii="Calibri"/>
                <w:b/>
                <w:sz w:val="22"/>
              </w:rPr>
            </w:pPr>
            <w:r>
              <w:rPr>
                <w:rFonts w:ascii="Calibri"/>
                <w:b/>
                <w:color w:val="FFFFFF"/>
                <w:sz w:val="22"/>
              </w:rPr>
              <w:t>cost </w:t>
            </w:r>
            <w:r>
              <w:rPr>
                <w:rFonts w:ascii="Calibri"/>
                <w:b/>
                <w:color w:val="FFFFFF"/>
                <w:spacing w:val="-2"/>
                <w:sz w:val="22"/>
              </w:rPr>
              <w:t>(c/km)</w:t>
            </w:r>
          </w:p>
        </w:tc>
      </w:tr>
      <w:tr>
        <w:trPr>
          <w:trHeight w:val="447" w:hRule="atLeast"/>
        </w:trPr>
        <w:tc>
          <w:tcPr>
            <w:tcW w:w="2151" w:type="dxa"/>
            <w:tcBorders>
              <w:top w:val="nil"/>
              <w:bottom w:val="single" w:sz="4" w:space="0" w:color="FFFFFF"/>
              <w:right w:val="single" w:sz="4" w:space="0" w:color="FFFFFF"/>
            </w:tcBorders>
            <w:shd w:val="clear" w:color="auto" w:fill="C0C0C0"/>
          </w:tcPr>
          <w:p>
            <w:pPr>
              <w:pStyle w:val="TableParagraph"/>
              <w:spacing w:line="220" w:lineRule="exact"/>
              <w:ind w:left="56" w:right="201"/>
              <w:rPr>
                <w:rFonts w:ascii="Calibri"/>
                <w:sz w:val="22"/>
              </w:rPr>
            </w:pPr>
            <w:r>
              <w:rPr>
                <w:rFonts w:ascii="Calibri"/>
                <w:sz w:val="22"/>
              </w:rPr>
              <w:t>does</w:t>
            </w:r>
            <w:r>
              <w:rPr>
                <w:rFonts w:ascii="Calibri"/>
                <w:spacing w:val="-13"/>
                <w:sz w:val="22"/>
              </w:rPr>
              <w:t> </w:t>
            </w:r>
            <w:r>
              <w:rPr>
                <w:rFonts w:ascii="Calibri"/>
                <w:sz w:val="22"/>
              </w:rPr>
              <w:t>not</w:t>
            </w:r>
            <w:r>
              <w:rPr>
                <w:rFonts w:ascii="Calibri"/>
                <w:spacing w:val="-12"/>
                <w:sz w:val="22"/>
              </w:rPr>
              <w:t> </w:t>
            </w:r>
            <w:r>
              <w:rPr>
                <w:rFonts w:ascii="Calibri"/>
                <w:sz w:val="22"/>
              </w:rPr>
              <w:t>exceed R100 000</w:t>
            </w:r>
          </w:p>
        </w:tc>
        <w:tc>
          <w:tcPr>
            <w:tcW w:w="1627" w:type="dxa"/>
            <w:tcBorders>
              <w:top w:val="nil"/>
              <w:left w:val="single" w:sz="4" w:space="0" w:color="FFFFFF"/>
              <w:bottom w:val="single" w:sz="4" w:space="0" w:color="FFFFFF"/>
              <w:right w:val="single" w:sz="4" w:space="0" w:color="FFFFFF"/>
            </w:tcBorders>
            <w:shd w:val="clear" w:color="auto" w:fill="C0C0C0"/>
          </w:tcPr>
          <w:p>
            <w:pPr>
              <w:pStyle w:val="TableParagraph"/>
              <w:spacing w:before="72"/>
              <w:ind w:left="89"/>
              <w:rPr>
                <w:rFonts w:ascii="Calibri"/>
                <w:sz w:val="22"/>
              </w:rPr>
            </w:pPr>
            <w:r>
              <w:rPr>
                <w:rFonts w:ascii="Calibri"/>
                <w:spacing w:val="-2"/>
                <w:sz w:val="22"/>
              </w:rPr>
              <w:t>33,940</w:t>
            </w:r>
          </w:p>
        </w:tc>
        <w:tc>
          <w:tcPr>
            <w:tcW w:w="1641" w:type="dxa"/>
            <w:tcBorders>
              <w:top w:val="nil"/>
              <w:left w:val="single" w:sz="4" w:space="0" w:color="FFFFFF"/>
              <w:bottom w:val="single" w:sz="4" w:space="0" w:color="FFFFFF"/>
              <w:right w:val="single" w:sz="4" w:space="0" w:color="FFFFFF"/>
            </w:tcBorders>
            <w:shd w:val="clear" w:color="auto" w:fill="C0C0C0"/>
          </w:tcPr>
          <w:p>
            <w:pPr>
              <w:pStyle w:val="TableParagraph"/>
              <w:spacing w:before="72"/>
              <w:ind w:left="89"/>
              <w:rPr>
                <w:rFonts w:ascii="Calibri"/>
                <w:sz w:val="22"/>
              </w:rPr>
            </w:pPr>
            <w:r>
              <w:rPr>
                <w:rFonts w:ascii="Calibri"/>
                <w:spacing w:val="-2"/>
                <w:sz w:val="22"/>
              </w:rPr>
              <w:t>146.7</w:t>
            </w:r>
          </w:p>
        </w:tc>
        <w:tc>
          <w:tcPr>
            <w:tcW w:w="1617" w:type="dxa"/>
            <w:tcBorders>
              <w:top w:val="nil"/>
              <w:left w:val="single" w:sz="4" w:space="0" w:color="FFFFFF"/>
              <w:bottom w:val="single" w:sz="4" w:space="0" w:color="FFFFFF"/>
            </w:tcBorders>
            <w:shd w:val="clear" w:color="auto" w:fill="C0C0C0"/>
          </w:tcPr>
          <w:p>
            <w:pPr>
              <w:pStyle w:val="TableParagraph"/>
              <w:spacing w:before="72"/>
              <w:ind w:left="88"/>
              <w:rPr>
                <w:rFonts w:ascii="Calibri"/>
                <w:sz w:val="22"/>
              </w:rPr>
            </w:pPr>
            <w:r>
              <w:rPr>
                <w:rFonts w:ascii="Calibri"/>
                <w:spacing w:val="-4"/>
                <w:sz w:val="22"/>
              </w:rPr>
              <w:t>47.4</w:t>
            </w:r>
          </w:p>
        </w:tc>
      </w:tr>
      <w:tr>
        <w:trPr>
          <w:trHeight w:val="655"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R100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R200 000</w:t>
            </w:r>
          </w:p>
        </w:tc>
        <w:tc>
          <w:tcPr>
            <w:tcW w:w="1627" w:type="dxa"/>
            <w:tcBorders>
              <w:top w:val="single" w:sz="4" w:space="0" w:color="FFFFFF"/>
              <w:left w:val="single" w:sz="12" w:space="0" w:color="FFFFFF"/>
              <w:bottom w:val="single" w:sz="6" w:space="0" w:color="FFFFFF"/>
              <w:right w:val="single" w:sz="12" w:space="0" w:color="FFFFFF"/>
            </w:tcBorders>
          </w:tcPr>
          <w:p>
            <w:pPr>
              <w:pStyle w:val="TableParagraph"/>
              <w:spacing w:before="177"/>
              <w:ind w:left="79"/>
              <w:rPr>
                <w:rFonts w:ascii="Calibri"/>
                <w:sz w:val="22"/>
              </w:rPr>
            </w:pPr>
            <w:r>
              <w:rPr>
                <w:rFonts w:ascii="Calibri"/>
                <w:spacing w:val="-2"/>
                <w:sz w:val="22"/>
              </w:rPr>
              <w:t>60,688</w:t>
            </w:r>
          </w:p>
        </w:tc>
        <w:tc>
          <w:tcPr>
            <w:tcW w:w="1641" w:type="dxa"/>
            <w:tcBorders>
              <w:top w:val="single" w:sz="4" w:space="0" w:color="FFFFFF"/>
              <w:left w:val="single" w:sz="12" w:space="0" w:color="FFFFFF"/>
              <w:bottom w:val="single" w:sz="6" w:space="0" w:color="FFFFFF"/>
              <w:right w:val="single" w:sz="12" w:space="0" w:color="FFFFFF"/>
            </w:tcBorders>
          </w:tcPr>
          <w:p>
            <w:pPr>
              <w:pStyle w:val="TableParagraph"/>
              <w:spacing w:before="177"/>
              <w:ind w:left="79"/>
              <w:rPr>
                <w:rFonts w:ascii="Calibri"/>
                <w:sz w:val="22"/>
              </w:rPr>
            </w:pPr>
            <w:r>
              <w:rPr>
                <w:rFonts w:ascii="Calibri"/>
                <w:spacing w:val="-2"/>
                <w:sz w:val="22"/>
              </w:rPr>
              <w:t>163.8</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59.3</w:t>
            </w:r>
          </w:p>
        </w:tc>
      </w:tr>
      <w:tr>
        <w:trPr>
          <w:trHeight w:val="660" w:hRule="atLeast"/>
        </w:trPr>
        <w:tc>
          <w:tcPr>
            <w:tcW w:w="2151" w:type="dxa"/>
            <w:tcBorders>
              <w:top w:val="single" w:sz="4" w:space="0" w:color="FFFFFF"/>
              <w:bottom w:val="single" w:sz="4" w:space="0" w:color="FFFFFF"/>
              <w:right w:val="single" w:sz="2" w:space="0" w:color="FFFFFF"/>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R200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R300 000</w:t>
            </w:r>
          </w:p>
        </w:tc>
        <w:tc>
          <w:tcPr>
            <w:tcW w:w="1627" w:type="dxa"/>
            <w:tcBorders>
              <w:top w:val="single" w:sz="6" w:space="0" w:color="FFFFFF"/>
              <w:left w:val="single" w:sz="2" w:space="0" w:color="FFFFFF"/>
              <w:bottom w:val="single" w:sz="4" w:space="0" w:color="FFFFFF"/>
              <w:right w:val="nil"/>
            </w:tcBorders>
          </w:tcPr>
          <w:p>
            <w:pPr>
              <w:pStyle w:val="TableParagraph"/>
              <w:spacing w:before="174"/>
              <w:ind w:left="91"/>
              <w:rPr>
                <w:rFonts w:ascii="Calibri"/>
                <w:sz w:val="22"/>
              </w:rPr>
            </w:pPr>
            <w:r>
              <w:rPr>
                <w:rFonts w:ascii="Calibri"/>
                <w:sz w:val="22"/>
              </w:rPr>
              <mc:AlternateContent>
                <mc:Choice Requires="wps">
                  <w:drawing>
                    <wp:anchor distT="0" distB="0" distL="0" distR="0" allowOverlap="1" layoutInCell="1" locked="0" behindDoc="1" simplePos="0" relativeHeight="485515776">
                      <wp:simplePos x="0" y="0"/>
                      <wp:positionH relativeFrom="column">
                        <wp:posOffset>-3175</wp:posOffset>
                      </wp:positionH>
                      <wp:positionV relativeFrom="paragraph">
                        <wp:posOffset>-8170</wp:posOffset>
                      </wp:positionV>
                      <wp:extent cx="2081530" cy="4337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081530" cy="433705"/>
                                <a:chExt cx="2081530" cy="433705"/>
                              </a:xfrm>
                            </wpg:grpSpPr>
                            <wps:wsp>
                              <wps:cNvPr id="10" name="Graphic 10"/>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11" name="Graphic 11"/>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12" name="Graphic 12"/>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13" name="Graphic 13"/>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643361pt;width:163.9pt;height:34.15pt;mso-position-horizontal-relative:column;mso-position-vertical-relative:paragraph;z-index:-17800704" id="docshapegroup8" coordorigin="-5,-13" coordsize="3278,683">
                      <v:rect style="position:absolute;left:0;top:-8;width:1627;height:673" id="docshape9" filled="true" fillcolor="#c0c0c0" stroked="false">
                        <v:fill type="solid"/>
                      </v:rect>
                      <v:rect style="position:absolute;left:0;top:-8;width:1627;height:673" id="docshape10" filled="false" stroked="true" strokeweight=".5pt" strokecolor="#ffffff">
                        <v:stroke dashstyle="solid"/>
                      </v:rect>
                      <v:rect style="position:absolute;left:1626;top:-8;width:1641;height:673" id="docshape11" filled="true" fillcolor="#c0c0c0" stroked="false">
                        <v:fill type="solid"/>
                      </v:rect>
                      <v:rect style="position:absolute;left:1626;top:-8;width:1641;height:673" id="docshape12" filled="false" stroked="true" strokeweight=".5pt" strokecolor="#ffffff">
                        <v:stroke dashstyle="solid"/>
                      </v:rect>
                      <w10:wrap type="none"/>
                    </v:group>
                  </w:pict>
                </mc:Fallback>
              </mc:AlternateContent>
            </w:r>
            <w:r>
              <w:rPr>
                <w:rFonts w:ascii="Calibri"/>
                <w:spacing w:val="-2"/>
                <w:sz w:val="22"/>
              </w:rPr>
              <w:t>87,497</w:t>
            </w:r>
          </w:p>
        </w:tc>
        <w:tc>
          <w:tcPr>
            <w:tcW w:w="1641" w:type="dxa"/>
            <w:tcBorders>
              <w:top w:val="single" w:sz="6" w:space="0" w:color="FFFFFF"/>
              <w:left w:val="nil"/>
              <w:bottom w:val="single" w:sz="4" w:space="0" w:color="FFFFFF"/>
              <w:right w:val="single" w:sz="4" w:space="0" w:color="FFFFFF"/>
            </w:tcBorders>
          </w:tcPr>
          <w:p>
            <w:pPr>
              <w:pStyle w:val="TableParagraph"/>
              <w:spacing w:before="174"/>
              <w:ind w:left="94"/>
              <w:rPr>
                <w:rFonts w:ascii="Calibri"/>
                <w:sz w:val="22"/>
              </w:rPr>
            </w:pPr>
            <w:r>
              <w:rPr>
                <w:rFonts w:ascii="Calibri"/>
                <w:spacing w:val="-2"/>
                <w:sz w:val="22"/>
              </w:rPr>
              <w:t>177.9</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4"/>
              <w:ind w:left="88"/>
              <w:rPr>
                <w:rFonts w:ascii="Calibri"/>
                <w:sz w:val="22"/>
              </w:rPr>
            </w:pPr>
            <w:r>
              <w:rPr>
                <w:rFonts w:ascii="Calibri"/>
                <w:spacing w:val="-4"/>
                <w:sz w:val="22"/>
              </w:rPr>
              <w:t>65.4</w:t>
            </w:r>
          </w:p>
        </w:tc>
      </w:tr>
      <w:tr>
        <w:trPr>
          <w:trHeight w:val="662"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R300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R400 000</w:t>
            </w:r>
          </w:p>
        </w:tc>
        <w:tc>
          <w:tcPr>
            <w:tcW w:w="1627"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111,273</w:t>
            </w:r>
          </w:p>
        </w:tc>
        <w:tc>
          <w:tcPr>
            <w:tcW w:w="1641"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191.4</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71.4</w:t>
            </w:r>
          </w:p>
        </w:tc>
      </w:tr>
      <w:tr>
        <w:trPr>
          <w:trHeight w:val="662" w:hRule="atLeast"/>
        </w:trPr>
        <w:tc>
          <w:tcPr>
            <w:tcW w:w="2151" w:type="dxa"/>
            <w:tcBorders>
              <w:top w:val="single" w:sz="4" w:space="0" w:color="FFFFFF"/>
              <w:bottom w:val="single" w:sz="4" w:space="0" w:color="FFFFFF"/>
              <w:right w:val="single" w:sz="2" w:space="0" w:color="000000"/>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R400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R500 000</w:t>
            </w:r>
          </w:p>
        </w:tc>
        <w:tc>
          <w:tcPr>
            <w:tcW w:w="1627" w:type="dxa"/>
            <w:tcBorders>
              <w:top w:val="single" w:sz="2" w:space="0" w:color="FFFFFF"/>
              <w:left w:val="single" w:sz="2" w:space="0" w:color="000000"/>
              <w:bottom w:val="single" w:sz="4" w:space="0" w:color="FFFFFF"/>
              <w:right w:val="nil"/>
            </w:tcBorders>
          </w:tcPr>
          <w:p>
            <w:pPr>
              <w:pStyle w:val="TableParagraph"/>
              <w:spacing w:before="177"/>
              <w:ind w:left="91"/>
              <w:rPr>
                <w:rFonts w:ascii="Calibri"/>
                <w:sz w:val="22"/>
              </w:rPr>
            </w:pPr>
            <w:r>
              <w:rPr>
                <w:rFonts w:ascii="Calibri"/>
                <w:sz w:val="22"/>
              </w:rPr>
              <mc:AlternateContent>
                <mc:Choice Requires="wps">
                  <w:drawing>
                    <wp:anchor distT="0" distB="0" distL="0" distR="0" allowOverlap="1" layoutInCell="1" locked="0" behindDoc="1" simplePos="0" relativeHeight="485516288">
                      <wp:simplePos x="0" y="0"/>
                      <wp:positionH relativeFrom="column">
                        <wp:posOffset>-3175</wp:posOffset>
                      </wp:positionH>
                      <wp:positionV relativeFrom="paragraph">
                        <wp:posOffset>-6265</wp:posOffset>
                      </wp:positionV>
                      <wp:extent cx="2081530" cy="43370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081530" cy="433705"/>
                                <a:chExt cx="2081530" cy="433705"/>
                              </a:xfrm>
                            </wpg:grpSpPr>
                            <wps:wsp>
                              <wps:cNvPr id="15" name="Graphic 15"/>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16" name="Graphic 16"/>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17" name="Graphic 17"/>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18" name="Graphic 18"/>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493361pt;width:163.9pt;height:34.15pt;mso-position-horizontal-relative:column;mso-position-vertical-relative:paragraph;z-index:-17800192" id="docshapegroup13" coordorigin="-5,-10" coordsize="3278,683">
                      <v:rect style="position:absolute;left:0;top:-5;width:1627;height:673" id="docshape14" filled="true" fillcolor="#c0c0c0" stroked="false">
                        <v:fill type="solid"/>
                      </v:rect>
                      <v:rect style="position:absolute;left:0;top:-5;width:1627;height:673" id="docshape15" filled="false" stroked="true" strokeweight=".5pt" strokecolor="#ffffff">
                        <v:stroke dashstyle="solid"/>
                      </v:rect>
                      <v:rect style="position:absolute;left:1626;top:-5;width:1641;height:673" id="docshape16" filled="true" fillcolor="#c0c0c0" stroked="false">
                        <v:fill type="solid"/>
                      </v:rect>
                      <v:rect style="position:absolute;left:1626;top:-5;width:1641;height:673" id="docshape17" filled="false" stroked="true" strokeweight=".5pt" strokecolor="#ffffff">
                        <v:stroke dashstyle="solid"/>
                      </v:rect>
                      <w10:wrap type="none"/>
                    </v:group>
                  </w:pict>
                </mc:Fallback>
              </mc:AlternateContent>
            </w:r>
            <w:r>
              <w:rPr>
                <w:rFonts w:ascii="Calibri"/>
                <w:spacing w:val="-2"/>
                <w:sz w:val="22"/>
              </w:rPr>
              <w:t>135,048</w:t>
            </w:r>
          </w:p>
        </w:tc>
        <w:tc>
          <w:tcPr>
            <w:tcW w:w="1641" w:type="dxa"/>
            <w:tcBorders>
              <w:top w:val="single" w:sz="2" w:space="0" w:color="FFFFFF"/>
              <w:left w:val="nil"/>
              <w:bottom w:val="single" w:sz="4" w:space="0" w:color="FFFFFF"/>
              <w:right w:val="single" w:sz="4" w:space="0" w:color="FFFFFF"/>
            </w:tcBorders>
          </w:tcPr>
          <w:p>
            <w:pPr>
              <w:pStyle w:val="TableParagraph"/>
              <w:spacing w:before="177"/>
              <w:ind w:left="94"/>
              <w:rPr>
                <w:rFonts w:ascii="Calibri"/>
                <w:sz w:val="22"/>
              </w:rPr>
            </w:pPr>
            <w:r>
              <w:rPr>
                <w:rFonts w:ascii="Calibri"/>
                <w:spacing w:val="-2"/>
                <w:sz w:val="22"/>
              </w:rPr>
              <w:t>204.8</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7"/>
              <w:ind w:left="88"/>
              <w:rPr>
                <w:rFonts w:ascii="Calibri"/>
                <w:sz w:val="22"/>
              </w:rPr>
            </w:pPr>
            <w:r>
              <w:rPr>
                <w:rFonts w:ascii="Calibri"/>
                <w:spacing w:val="-4"/>
                <w:sz w:val="22"/>
              </w:rPr>
              <w:t>83.9</w:t>
            </w:r>
          </w:p>
        </w:tc>
      </w:tr>
      <w:tr>
        <w:trPr>
          <w:trHeight w:val="662"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R500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R600 000</w:t>
            </w:r>
          </w:p>
        </w:tc>
        <w:tc>
          <w:tcPr>
            <w:tcW w:w="1627"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159,934</w:t>
            </w:r>
          </w:p>
        </w:tc>
        <w:tc>
          <w:tcPr>
            <w:tcW w:w="1641"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234.9</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98.5</w:t>
            </w:r>
          </w:p>
        </w:tc>
      </w:tr>
      <w:tr>
        <w:trPr>
          <w:trHeight w:val="662" w:hRule="atLeast"/>
        </w:trPr>
        <w:tc>
          <w:tcPr>
            <w:tcW w:w="2151" w:type="dxa"/>
            <w:tcBorders>
              <w:top w:val="single" w:sz="4" w:space="0" w:color="FFFFFF"/>
              <w:bottom w:val="single" w:sz="4" w:space="0" w:color="FFFFFF"/>
              <w:right w:val="single" w:sz="2" w:space="0" w:color="000000"/>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R600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R700 000</w:t>
            </w:r>
          </w:p>
        </w:tc>
        <w:tc>
          <w:tcPr>
            <w:tcW w:w="1627" w:type="dxa"/>
            <w:tcBorders>
              <w:top w:val="single" w:sz="2" w:space="0" w:color="FFFFFF"/>
              <w:left w:val="single" w:sz="2" w:space="0" w:color="000000"/>
              <w:bottom w:val="nil"/>
              <w:right w:val="nil"/>
            </w:tcBorders>
          </w:tcPr>
          <w:p>
            <w:pPr>
              <w:pStyle w:val="TableParagraph"/>
              <w:spacing w:before="177"/>
              <w:ind w:left="91"/>
              <w:rPr>
                <w:rFonts w:ascii="Calibri"/>
                <w:sz w:val="22"/>
              </w:rPr>
            </w:pPr>
            <w:r>
              <w:rPr>
                <w:rFonts w:ascii="Calibri"/>
                <w:sz w:val="22"/>
              </w:rPr>
              <mc:AlternateContent>
                <mc:Choice Requires="wps">
                  <w:drawing>
                    <wp:anchor distT="0" distB="0" distL="0" distR="0" allowOverlap="1" layoutInCell="1" locked="0" behindDoc="1" simplePos="0" relativeHeight="485516800">
                      <wp:simplePos x="0" y="0"/>
                      <wp:positionH relativeFrom="column">
                        <wp:posOffset>-3175</wp:posOffset>
                      </wp:positionH>
                      <wp:positionV relativeFrom="paragraph">
                        <wp:posOffset>-6265</wp:posOffset>
                      </wp:positionV>
                      <wp:extent cx="2081530" cy="43370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081530" cy="433705"/>
                                <a:chExt cx="2081530" cy="433705"/>
                              </a:xfrm>
                            </wpg:grpSpPr>
                            <wps:wsp>
                              <wps:cNvPr id="20" name="Graphic 20"/>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21" name="Graphic 21"/>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22" name="Graphic 22"/>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23" name="Graphic 23"/>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493361pt;width:163.9pt;height:34.15pt;mso-position-horizontal-relative:column;mso-position-vertical-relative:paragraph;z-index:-17799680" id="docshapegroup18" coordorigin="-5,-10" coordsize="3278,683">
                      <v:rect style="position:absolute;left:0;top:-5;width:1627;height:673" id="docshape19" filled="true" fillcolor="#c0c0c0" stroked="false">
                        <v:fill type="solid"/>
                      </v:rect>
                      <v:rect style="position:absolute;left:0;top:-5;width:1627;height:673" id="docshape20" filled="false" stroked="true" strokeweight=".5pt" strokecolor="#ffffff">
                        <v:stroke dashstyle="solid"/>
                      </v:rect>
                      <v:rect style="position:absolute;left:1626;top:-5;width:1641;height:673" id="docshape21" filled="true" fillcolor="#c0c0c0" stroked="false">
                        <v:fill type="solid"/>
                      </v:rect>
                      <v:rect style="position:absolute;left:1626;top:-5;width:1641;height:673" id="docshape22" filled="false" stroked="true" strokeweight=".5pt" strokecolor="#ffffff">
                        <v:stroke dashstyle="solid"/>
                      </v:rect>
                      <w10:wrap type="none"/>
                    </v:group>
                  </w:pict>
                </mc:Fallback>
              </mc:AlternateContent>
            </w:r>
            <w:r>
              <w:rPr>
                <w:rFonts w:ascii="Calibri"/>
                <w:spacing w:val="-2"/>
                <w:sz w:val="22"/>
              </w:rPr>
              <w:t>184,867</w:t>
            </w:r>
          </w:p>
        </w:tc>
        <w:tc>
          <w:tcPr>
            <w:tcW w:w="1641" w:type="dxa"/>
            <w:tcBorders>
              <w:top w:val="single" w:sz="2" w:space="0" w:color="FFFFFF"/>
              <w:left w:val="nil"/>
              <w:bottom w:val="nil"/>
              <w:right w:val="single" w:sz="4" w:space="0" w:color="FFFFFF"/>
            </w:tcBorders>
          </w:tcPr>
          <w:p>
            <w:pPr>
              <w:pStyle w:val="TableParagraph"/>
              <w:spacing w:before="177"/>
              <w:ind w:left="94"/>
              <w:rPr>
                <w:rFonts w:ascii="Calibri"/>
                <w:sz w:val="22"/>
              </w:rPr>
            </w:pPr>
            <w:r>
              <w:rPr>
                <w:rFonts w:ascii="Calibri"/>
                <w:spacing w:val="-2"/>
                <w:sz w:val="22"/>
              </w:rPr>
              <w:t>238.9</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7"/>
              <w:ind w:left="88"/>
              <w:rPr>
                <w:rFonts w:ascii="Calibri"/>
                <w:sz w:val="22"/>
              </w:rPr>
            </w:pPr>
            <w:r>
              <w:rPr>
                <w:rFonts w:ascii="Calibri"/>
                <w:spacing w:val="-2"/>
                <w:sz w:val="22"/>
              </w:rPr>
              <w:t>110.5</w:t>
            </w:r>
          </w:p>
        </w:tc>
      </w:tr>
      <w:tr>
        <w:trPr>
          <w:trHeight w:val="662" w:hRule="atLeast"/>
        </w:trPr>
        <w:tc>
          <w:tcPr>
            <w:tcW w:w="2151" w:type="dxa"/>
            <w:tcBorders>
              <w:top w:val="single" w:sz="4" w:space="0" w:color="FFFFFF"/>
              <w:bottom w:val="single" w:sz="4" w:space="0" w:color="FFFFFF"/>
              <w:right w:val="single" w:sz="4" w:space="0" w:color="000000"/>
            </w:tcBorders>
          </w:tcPr>
          <w:p>
            <w:pPr>
              <w:pStyle w:val="TableParagraph"/>
              <w:spacing w:line="220" w:lineRule="exact"/>
              <w:ind w:left="56" w:right="132"/>
              <w:rPr>
                <w:rFonts w:ascii="Calibri"/>
                <w:sz w:val="22"/>
              </w:rPr>
            </w:pPr>
            <w:r>
              <w:rPr>
                <w:rFonts w:ascii="Calibri"/>
                <w:sz w:val="22"/>
              </w:rPr>
              <w:t>exceeds</w:t>
            </w:r>
            <w:r>
              <w:rPr>
                <w:rFonts w:ascii="Calibri"/>
                <w:spacing w:val="-13"/>
                <w:sz w:val="22"/>
              </w:rPr>
              <w:t> </w:t>
            </w:r>
            <w:r>
              <w:rPr>
                <w:rFonts w:ascii="Calibri"/>
                <w:sz w:val="22"/>
              </w:rPr>
              <w:t>R700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R800 000</w:t>
            </w:r>
          </w:p>
        </w:tc>
        <w:tc>
          <w:tcPr>
            <w:tcW w:w="1627" w:type="dxa"/>
            <w:tcBorders>
              <w:top w:val="nil"/>
              <w:left w:val="single" w:sz="4" w:space="0" w:color="000000"/>
              <w:bottom w:val="single" w:sz="4" w:space="0" w:color="FFFFFF"/>
              <w:right w:val="nil"/>
            </w:tcBorders>
          </w:tcPr>
          <w:p>
            <w:pPr>
              <w:pStyle w:val="TableParagraph"/>
              <w:spacing w:before="177"/>
              <w:ind w:left="89"/>
              <w:rPr>
                <w:rFonts w:ascii="Calibri"/>
                <w:sz w:val="22"/>
              </w:rPr>
            </w:pPr>
            <w:r>
              <w:rPr>
                <w:rFonts w:ascii="Calibri"/>
                <w:spacing w:val="-2"/>
                <w:sz w:val="22"/>
              </w:rPr>
              <w:t>211,121</w:t>
            </w:r>
          </w:p>
        </w:tc>
        <w:tc>
          <w:tcPr>
            <w:tcW w:w="1641" w:type="dxa"/>
            <w:tcBorders>
              <w:top w:val="nil"/>
              <w:left w:val="nil"/>
              <w:bottom w:val="single" w:sz="4" w:space="0" w:color="FFFFFF"/>
              <w:right w:val="single" w:sz="12" w:space="0" w:color="FFFFFF"/>
            </w:tcBorders>
          </w:tcPr>
          <w:p>
            <w:pPr>
              <w:pStyle w:val="TableParagraph"/>
              <w:spacing w:before="177"/>
              <w:ind w:left="94"/>
              <w:rPr>
                <w:rFonts w:ascii="Calibri"/>
                <w:sz w:val="22"/>
              </w:rPr>
            </w:pPr>
            <w:r>
              <w:rPr>
                <w:rFonts w:ascii="Calibri"/>
                <w:spacing w:val="-2"/>
                <w:sz w:val="22"/>
              </w:rPr>
              <w:t>242.9</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2"/>
                <w:sz w:val="22"/>
              </w:rPr>
              <w:t>122.5</w:t>
            </w:r>
          </w:p>
        </w:tc>
      </w:tr>
      <w:tr>
        <w:trPr>
          <w:trHeight w:val="317" w:hRule="atLeast"/>
        </w:trPr>
        <w:tc>
          <w:tcPr>
            <w:tcW w:w="2151" w:type="dxa"/>
            <w:tcBorders>
              <w:top w:val="single" w:sz="4" w:space="0" w:color="FFFFFF"/>
              <w:left w:val="single" w:sz="12" w:space="0" w:color="8D8D8D"/>
              <w:bottom w:val="nil"/>
              <w:right w:val="single" w:sz="4" w:space="0" w:color="FFFFFF"/>
            </w:tcBorders>
            <w:shd w:val="clear" w:color="auto" w:fill="C0C0C0"/>
          </w:tcPr>
          <w:p>
            <w:pPr>
              <w:pStyle w:val="TableParagraph"/>
              <w:spacing w:line="263" w:lineRule="exact"/>
              <w:ind w:left="56"/>
              <w:rPr>
                <w:rFonts w:ascii="Calibri"/>
                <w:sz w:val="22"/>
              </w:rPr>
            </w:pPr>
            <w:r>
              <w:rPr>
                <w:rFonts w:ascii="Calibri"/>
                <w:sz w:val="22"/>
              </w:rPr>
              <w:t>exceeding 800 </w:t>
            </w:r>
            <w:r>
              <w:rPr>
                <w:rFonts w:ascii="Calibri"/>
                <w:spacing w:val="-5"/>
                <w:sz w:val="22"/>
              </w:rPr>
              <w:t>000</w:t>
            </w:r>
          </w:p>
        </w:tc>
        <w:tc>
          <w:tcPr>
            <w:tcW w:w="1627" w:type="dxa"/>
            <w:tcBorders>
              <w:top w:val="single" w:sz="4" w:space="0" w:color="FFFFFF"/>
              <w:left w:val="single" w:sz="4" w:space="0" w:color="FFFFFF"/>
              <w:bottom w:val="nil"/>
              <w:right w:val="single" w:sz="4" w:space="0" w:color="FFFFFF"/>
            </w:tcBorders>
            <w:shd w:val="clear" w:color="auto" w:fill="C0C0C0"/>
          </w:tcPr>
          <w:p>
            <w:pPr>
              <w:pStyle w:val="TableParagraph"/>
              <w:spacing w:line="263" w:lineRule="exact"/>
              <w:ind w:left="89"/>
              <w:rPr>
                <w:rFonts w:ascii="Calibri"/>
                <w:sz w:val="22"/>
              </w:rPr>
            </w:pPr>
            <w:r>
              <w:rPr>
                <w:rFonts w:ascii="Calibri"/>
                <w:spacing w:val="-2"/>
                <w:sz w:val="22"/>
              </w:rPr>
              <w:t>211,121</w:t>
            </w:r>
          </w:p>
        </w:tc>
        <w:tc>
          <w:tcPr>
            <w:tcW w:w="1641" w:type="dxa"/>
            <w:tcBorders>
              <w:top w:val="single" w:sz="4" w:space="0" w:color="FFFFFF"/>
              <w:left w:val="single" w:sz="4" w:space="0" w:color="FFFFFF"/>
              <w:bottom w:val="nil"/>
              <w:right w:val="single" w:sz="4" w:space="0" w:color="FFFFFF"/>
            </w:tcBorders>
            <w:shd w:val="clear" w:color="auto" w:fill="C0C0C0"/>
          </w:tcPr>
          <w:p>
            <w:pPr>
              <w:pStyle w:val="TableParagraph"/>
              <w:spacing w:line="263" w:lineRule="exact"/>
              <w:ind w:left="89"/>
              <w:rPr>
                <w:rFonts w:ascii="Calibri"/>
                <w:sz w:val="22"/>
              </w:rPr>
            </w:pPr>
            <w:r>
              <w:rPr>
                <w:rFonts w:ascii="Calibri"/>
                <w:spacing w:val="-2"/>
                <w:sz w:val="22"/>
              </w:rPr>
              <w:t>242.9</w:t>
            </w:r>
          </w:p>
        </w:tc>
        <w:tc>
          <w:tcPr>
            <w:tcW w:w="1617" w:type="dxa"/>
            <w:tcBorders>
              <w:top w:val="single" w:sz="4" w:space="0" w:color="FFFFFF"/>
              <w:left w:val="single" w:sz="4" w:space="0" w:color="FFFFFF"/>
              <w:bottom w:val="nil"/>
            </w:tcBorders>
            <w:shd w:val="clear" w:color="auto" w:fill="C0C0C0"/>
          </w:tcPr>
          <w:p>
            <w:pPr>
              <w:pStyle w:val="TableParagraph"/>
              <w:spacing w:line="263" w:lineRule="exact"/>
              <w:ind w:left="88"/>
              <w:rPr>
                <w:rFonts w:ascii="Calibri"/>
                <w:sz w:val="22"/>
              </w:rPr>
            </w:pPr>
            <w:r>
              <w:rPr>
                <w:rFonts w:ascii="Calibri"/>
                <w:spacing w:val="-2"/>
                <w:sz w:val="22"/>
              </w:rPr>
              <w:t>122.5</w:t>
            </w:r>
          </w:p>
        </w:tc>
      </w:tr>
    </w:tbl>
    <w:p>
      <w:pPr>
        <w:pStyle w:val="Heading2"/>
        <w:spacing w:before="248"/>
        <w:ind w:left="431"/>
      </w:pPr>
      <w:r>
        <w:rPr/>
        <w:t>Simplified </w:t>
      </w:r>
      <w:r>
        <w:rPr>
          <w:spacing w:val="-2"/>
        </w:rPr>
        <w:t>method</w:t>
      </w:r>
    </w:p>
    <w:p>
      <w:pPr>
        <w:pStyle w:val="BodyText"/>
        <w:spacing w:before="182"/>
        <w:ind w:left="431"/>
      </w:pPr>
      <w:r>
        <w:rPr>
          <w:spacing w:val="-2"/>
        </w:rPr>
        <w:t>Where:</w:t>
      </w:r>
    </w:p>
    <w:p>
      <w:pPr>
        <w:pStyle w:val="ListParagraph"/>
        <w:numPr>
          <w:ilvl w:val="0"/>
          <w:numId w:val="3"/>
        </w:numPr>
        <w:tabs>
          <w:tab w:pos="833" w:val="left" w:leader="none"/>
        </w:tabs>
        <w:spacing w:line="182" w:lineRule="auto" w:before="151" w:after="0"/>
        <w:ind w:left="833" w:right="40" w:hanging="403"/>
        <w:jc w:val="left"/>
        <w:rPr>
          <w:sz w:val="26"/>
        </w:rPr>
      </w:pPr>
      <w:r>
        <w:rPr>
          <w:sz w:val="26"/>
        </w:rPr>
        <w:t>The provisions of section 8(1)(b)(iii) are applicable in respect</w:t>
      </w:r>
      <w:r>
        <w:rPr>
          <w:spacing w:val="40"/>
          <w:sz w:val="26"/>
        </w:rPr>
        <w:t> </w:t>
      </w:r>
      <w:r>
        <w:rPr>
          <w:sz w:val="26"/>
        </w:rPr>
        <w:t>of the recipient of an allowance or advance; and</w:t>
      </w:r>
    </w:p>
    <w:p>
      <w:pPr>
        <w:pStyle w:val="ListParagraph"/>
        <w:numPr>
          <w:ilvl w:val="0"/>
          <w:numId w:val="3"/>
        </w:numPr>
        <w:tabs>
          <w:tab w:pos="831" w:val="left" w:leader="none"/>
          <w:tab w:pos="833" w:val="left" w:leader="none"/>
        </w:tabs>
        <w:spacing w:line="182" w:lineRule="auto" w:before="186" w:after="0"/>
        <w:ind w:left="833" w:right="38" w:hanging="402"/>
        <w:jc w:val="both"/>
        <w:rPr>
          <w:sz w:val="26"/>
        </w:rPr>
      </w:pPr>
      <w:r>
        <w:rPr>
          <w:sz w:val="26"/>
        </w:rPr>
        <w:t>No other compensation in the form of a further allowance or reimbursement (other than for parking or toll fees) is payable by</w:t>
      </w:r>
      <w:r>
        <w:rPr>
          <w:spacing w:val="-3"/>
          <w:sz w:val="26"/>
        </w:rPr>
        <w:t> </w:t>
      </w:r>
      <w:r>
        <w:rPr>
          <w:sz w:val="26"/>
        </w:rPr>
        <w:t>the</w:t>
      </w:r>
      <w:r>
        <w:rPr>
          <w:spacing w:val="-3"/>
          <w:sz w:val="26"/>
        </w:rPr>
        <w:t> </w:t>
      </w:r>
      <w:r>
        <w:rPr>
          <w:sz w:val="26"/>
        </w:rPr>
        <w:t>employer</w:t>
      </w:r>
      <w:r>
        <w:rPr>
          <w:spacing w:val="-3"/>
          <w:sz w:val="26"/>
        </w:rPr>
        <w:t> </w:t>
      </w:r>
      <w:r>
        <w:rPr>
          <w:sz w:val="26"/>
        </w:rPr>
        <w:t>to</w:t>
      </w:r>
      <w:r>
        <w:rPr>
          <w:spacing w:val="-3"/>
          <w:sz w:val="26"/>
        </w:rPr>
        <w:t> </w:t>
      </w:r>
      <w:r>
        <w:rPr>
          <w:sz w:val="26"/>
        </w:rPr>
        <w:t>that</w:t>
      </w:r>
      <w:r>
        <w:rPr>
          <w:spacing w:val="-3"/>
          <w:sz w:val="26"/>
        </w:rPr>
        <w:t> </w:t>
      </w:r>
      <w:r>
        <w:rPr>
          <w:sz w:val="26"/>
        </w:rPr>
        <w:t>recipient,</w:t>
      </w:r>
      <w:r>
        <w:rPr>
          <w:spacing w:val="-3"/>
          <w:sz w:val="26"/>
        </w:rPr>
        <w:t> </w:t>
      </w:r>
      <w:r>
        <w:rPr>
          <w:sz w:val="26"/>
        </w:rPr>
        <w:t>that</w:t>
      </w:r>
      <w:r>
        <w:rPr>
          <w:spacing w:val="-3"/>
          <w:sz w:val="26"/>
        </w:rPr>
        <w:t> </w:t>
      </w:r>
      <w:r>
        <w:rPr>
          <w:sz w:val="26"/>
        </w:rPr>
        <w:t>rate</w:t>
      </w:r>
      <w:r>
        <w:rPr>
          <w:spacing w:val="-3"/>
          <w:sz w:val="26"/>
        </w:rPr>
        <w:t> </w:t>
      </w:r>
      <w:r>
        <w:rPr>
          <w:sz w:val="26"/>
        </w:rPr>
        <w:t>per</w:t>
      </w:r>
      <w:r>
        <w:rPr>
          <w:spacing w:val="-3"/>
          <w:sz w:val="26"/>
        </w:rPr>
        <w:t> </w:t>
      </w:r>
      <w:r>
        <w:rPr>
          <w:sz w:val="26"/>
        </w:rPr>
        <w:t>kilometre</w:t>
      </w:r>
      <w:r>
        <w:rPr>
          <w:spacing w:val="-3"/>
          <w:sz w:val="26"/>
        </w:rPr>
        <w:t> </w:t>
      </w:r>
      <w:r>
        <w:rPr>
          <w:sz w:val="26"/>
        </w:rPr>
        <w:t>is,</w:t>
      </w:r>
      <w:r>
        <w:rPr>
          <w:spacing w:val="-3"/>
          <w:sz w:val="26"/>
        </w:rPr>
        <w:t> </w:t>
      </w:r>
      <w:r>
        <w:rPr>
          <w:sz w:val="26"/>
        </w:rPr>
        <w:t>at the option of the recipient, equal to 476 cents per kilometre.</w:t>
      </w:r>
    </w:p>
    <w:p>
      <w:pPr>
        <w:pStyle w:val="Heading2"/>
        <w:spacing w:before="5"/>
        <w:ind w:left="500"/>
      </w:pPr>
      <w:r>
        <w:rPr>
          <w:b w:val="0"/>
        </w:rPr>
        <w:br w:type="column"/>
      </w:r>
      <w:r>
        <w:rPr>
          <w:spacing w:val="-2"/>
        </w:rPr>
        <w:t>Note:</w:t>
      </w:r>
    </w:p>
    <w:p>
      <w:pPr>
        <w:pStyle w:val="ListParagraph"/>
        <w:numPr>
          <w:ilvl w:val="0"/>
          <w:numId w:val="4"/>
        </w:numPr>
        <w:tabs>
          <w:tab w:pos="1007" w:val="left" w:leader="none"/>
        </w:tabs>
        <w:spacing w:line="182" w:lineRule="auto" w:before="82" w:after="0"/>
        <w:ind w:left="1007" w:right="840" w:hanging="540"/>
        <w:jc w:val="both"/>
        <w:rPr>
          <w:sz w:val="26"/>
        </w:rPr>
      </w:pPr>
      <w:r>
        <w:rPr>
          <w:sz w:val="26"/>
        </w:rPr>
        <w:t>80% of the travelling allowance must be included in the employee’s remuneration for the purposes of calculating PAYE. The percentage is reduced to 20% if the employer is satisfied that at least 80% of the use of the motor vehicle for the tax year will be for business purposes.</w:t>
      </w:r>
    </w:p>
    <w:p>
      <w:pPr>
        <w:pStyle w:val="ListParagraph"/>
        <w:numPr>
          <w:ilvl w:val="0"/>
          <w:numId w:val="4"/>
        </w:numPr>
        <w:tabs>
          <w:tab w:pos="1006" w:val="left" w:leader="none"/>
        </w:tabs>
        <w:spacing w:line="182" w:lineRule="auto" w:before="79" w:after="0"/>
        <w:ind w:left="1006" w:right="841" w:hanging="540"/>
        <w:jc w:val="both"/>
        <w:rPr>
          <w:sz w:val="26"/>
        </w:rPr>
      </w:pPr>
      <w:r>
        <w:rPr>
          <w:sz w:val="26"/>
        </w:rPr>
        <w:t>No fuel cost may be claimed if the employee has not borne the full cost of fuel used in the vehicle, and no maintenance cost may be claimed if the employee has not borne the full cost of maintaining the vehicle (e.g. if the vehicle is covered by a maintenance plan).</w:t>
      </w:r>
    </w:p>
    <w:p>
      <w:pPr>
        <w:pStyle w:val="ListParagraph"/>
        <w:numPr>
          <w:ilvl w:val="0"/>
          <w:numId w:val="4"/>
        </w:numPr>
        <w:tabs>
          <w:tab w:pos="1007" w:val="left" w:leader="none"/>
        </w:tabs>
        <w:spacing w:line="182" w:lineRule="auto" w:before="149" w:after="0"/>
        <w:ind w:left="1007" w:right="842" w:hanging="540"/>
        <w:jc w:val="both"/>
        <w:rPr>
          <w:sz w:val="26"/>
        </w:rPr>
      </w:pPr>
      <w:r>
        <w:rPr>
          <w:sz w:val="26"/>
        </w:rPr>
        <w:t>The fixed cost must be reduced on a pro-rata basis if the vehicle</w:t>
      </w:r>
      <w:r>
        <w:rPr>
          <w:spacing w:val="40"/>
          <w:sz w:val="26"/>
        </w:rPr>
        <w:t> </w:t>
      </w:r>
      <w:r>
        <w:rPr>
          <w:sz w:val="26"/>
        </w:rPr>
        <w:t>is used for business purposes for less than a full year.</w:t>
      </w:r>
    </w:p>
    <w:p>
      <w:pPr>
        <w:pStyle w:val="ListParagraph"/>
        <w:numPr>
          <w:ilvl w:val="0"/>
          <w:numId w:val="4"/>
        </w:numPr>
        <w:tabs>
          <w:tab w:pos="1005" w:val="left" w:leader="none"/>
        </w:tabs>
        <w:spacing w:line="182" w:lineRule="auto" w:before="152" w:after="0"/>
        <w:ind w:left="1005" w:right="843" w:hanging="540"/>
        <w:jc w:val="both"/>
        <w:rPr>
          <w:sz w:val="26"/>
        </w:rPr>
      </w:pPr>
      <w:r>
        <w:rPr>
          <w:sz w:val="26"/>
        </w:rPr>
        <w:t>The actual distance travelled during a tax year, and the distance travelled for business purposes substantiated by a log book, are used to determine the costs which may be claimed against a travelling allowance.</w:t>
      </w:r>
    </w:p>
    <w:p>
      <w:pPr>
        <w:pStyle w:val="BodyText"/>
        <w:spacing w:line="180" w:lineRule="auto" w:before="217"/>
        <w:ind w:left="431" w:right="694" w:firstLine="1"/>
        <w:jc w:val="both"/>
      </w:pPr>
      <w:r>
        <w:rPr>
          <w:b/>
          <w:sz w:val="28"/>
        </w:rPr>
        <w:t>Alternatively</w:t>
      </w:r>
      <w:r>
        <w:rPr>
          <w:b/>
        </w:rPr>
        <w:t>: </w:t>
      </w:r>
      <w:r>
        <w:rPr/>
        <w:t>Where an allowance or advance is based on the actual distance travelled by the employee for business purposes, no tax is payable on an allowance paid by an employer to an employee, up to the rate published on the SARS website </w:t>
      </w:r>
      <w:hyperlink r:id="rId6">
        <w:r>
          <w:rPr/>
          <w:t>www.sars.gov.za</w:t>
        </w:r>
      </w:hyperlink>
      <w:r>
        <w:rPr/>
        <w:t> under Legal Counsel / Secondary Legislation / Income Tax Notices / Fixing of rate per kilometre in respect of motor vehicles, regardless of the value of the </w:t>
      </w:r>
      <w:r>
        <w:rPr>
          <w:spacing w:val="-2"/>
        </w:rPr>
        <w:t>vehicle.</w:t>
      </w:r>
    </w:p>
    <w:p>
      <w:pPr>
        <w:pStyle w:val="BodyText"/>
        <w:spacing w:line="182" w:lineRule="auto" w:before="222"/>
        <w:ind w:left="432" w:right="693"/>
        <w:jc w:val="both"/>
      </w:pPr>
      <w:r>
        <w:rPr/>
        <w:t>However, this alternative is not available if other compensation in the form of an allowance or reimbursement (other than for parking or toll fees) is received from the employer in respect of the vehicle.</w:t>
      </w:r>
    </w:p>
    <w:p>
      <w:pPr>
        <w:pStyle w:val="BodyText"/>
        <w:spacing w:line="175" w:lineRule="auto" w:before="317"/>
        <w:ind w:left="432" w:right="695"/>
        <w:jc w:val="both"/>
      </w:pPr>
      <w:r>
        <w:rPr>
          <w:b/>
          <w:sz w:val="28"/>
        </w:rPr>
        <w:t>Note: </w:t>
      </w:r>
      <w:r>
        <w:rPr/>
        <w:t>The rates in the Fixed Cost Table are adjusted periodically. The rates in the table on this page relate only to the 2025/26 tax year, i.e. from 1 March 2025 – 29 February 2026.</w:t>
      </w:r>
    </w:p>
    <w:p>
      <w:pPr>
        <w:pStyle w:val="Heading2"/>
        <w:spacing w:line="338" w:lineRule="exact" w:before="37"/>
        <w:ind w:left="432"/>
        <w:jc w:val="both"/>
      </w:pPr>
      <w:r>
        <w:rPr/>
        <w:t>Company </w:t>
      </w:r>
      <w:r>
        <w:rPr>
          <w:spacing w:val="-4"/>
        </w:rPr>
        <w:t>Cars</w:t>
      </w:r>
    </w:p>
    <w:p>
      <w:pPr>
        <w:pStyle w:val="BodyText"/>
        <w:spacing w:line="182" w:lineRule="auto" w:before="55"/>
        <w:ind w:left="432" w:right="695"/>
        <w:jc w:val="both"/>
      </w:pPr>
      <w:r>
        <w:rPr/>
        <w:t>Employees may also be entitled to claim a reduction on the fringe benefit in respect business mileage travelled in motor vehicles provided by an employer. In order to claim such a deduction, an accurate record of mileage travelled is required. This logbook may also be used for this purpose. The same minimum information as set out above is also required for company cars. For the rates for other tax years please visit </w:t>
      </w:r>
      <w:hyperlink r:id="rId6">
        <w:r>
          <w:rPr/>
          <w:t>www.sars.gov.za</w:t>
        </w:r>
      </w:hyperlink>
      <w:r>
        <w:rPr/>
        <w:t> or call the SARS Contact Centre on 0800 00 7277.</w:t>
      </w:r>
    </w:p>
    <w:p>
      <w:pPr>
        <w:pStyle w:val="BodyText"/>
        <w:spacing w:after="0" w:line="182" w:lineRule="auto"/>
        <w:jc w:val="both"/>
        <w:sectPr>
          <w:type w:val="continuous"/>
          <w:pgSz w:w="16840" w:h="11910" w:orient="landscape"/>
          <w:pgMar w:top="20" w:bottom="0" w:left="0" w:right="0"/>
          <w:cols w:num="2" w:equalWidth="0">
            <w:col w:w="7492" w:space="541"/>
            <w:col w:w="8807"/>
          </w:cols>
        </w:sectPr>
      </w:pPr>
    </w:p>
    <w:p>
      <w:pPr>
        <w:pStyle w:val="BodyText"/>
        <w:spacing w:before="68"/>
        <w:rPr>
          <w:sz w:val="28"/>
        </w:rPr>
      </w:pPr>
    </w:p>
    <w:p>
      <w:pPr>
        <w:pStyle w:val="Heading1"/>
        <w:spacing w:before="1"/>
        <w:ind w:left="373"/>
      </w:pPr>
      <w:r>
        <w:rPr>
          <w:spacing w:val="-2"/>
        </w:rPr>
        <w:t>PRIMARY</w:t>
      </w:r>
      <w:r>
        <w:rPr>
          <w:spacing w:val="-21"/>
        </w:rPr>
        <w:t> </w:t>
      </w:r>
      <w:r>
        <w:rPr>
          <w:spacing w:val="-2"/>
        </w:rPr>
        <w:t>INFORMATION</w:t>
      </w:r>
      <w:r>
        <w:rPr>
          <w:spacing w:val="-20"/>
        </w:rPr>
        <w:t> </w:t>
      </w:r>
      <w:r>
        <w:rPr>
          <w:spacing w:val="-2"/>
        </w:rPr>
        <w:t>TO</w:t>
      </w:r>
      <w:r>
        <w:rPr>
          <w:spacing w:val="-21"/>
        </w:rPr>
        <w:t> </w:t>
      </w:r>
      <w:r>
        <w:rPr>
          <w:spacing w:val="-2"/>
        </w:rPr>
        <w:t>BE</w:t>
      </w:r>
      <w:r>
        <w:rPr>
          <w:spacing w:val="-20"/>
        </w:rPr>
        <w:t> </w:t>
      </w:r>
      <w:r>
        <w:rPr>
          <w:spacing w:val="-2"/>
        </w:rPr>
        <w:t>FURNISHED</w:t>
      </w:r>
      <w:r>
        <w:rPr>
          <w:spacing w:val="-20"/>
        </w:rPr>
        <w:t> </w:t>
      </w:r>
      <w:r>
        <w:rPr>
          <w:spacing w:val="-2"/>
        </w:rPr>
        <w:t>BY</w:t>
      </w:r>
      <w:r>
        <w:rPr>
          <w:spacing w:val="-21"/>
        </w:rPr>
        <w:t> </w:t>
      </w:r>
      <w:r>
        <w:rPr>
          <w:spacing w:val="-2"/>
        </w:rPr>
        <w:t>A</w:t>
      </w:r>
      <w:r>
        <w:rPr>
          <w:spacing w:val="-20"/>
        </w:rPr>
        <w:t> </w:t>
      </w:r>
      <w:r>
        <w:rPr>
          <w:spacing w:val="-2"/>
        </w:rPr>
        <w:t>TAXPAYER</w:t>
      </w:r>
      <w:r>
        <w:rPr>
          <w:spacing w:val="-20"/>
        </w:rPr>
        <w:t> </w:t>
      </w:r>
      <w:r>
        <w:rPr>
          <w:spacing w:val="-2"/>
        </w:rPr>
        <w:t>AS</w:t>
      </w:r>
      <w:r>
        <w:rPr>
          <w:spacing w:val="-21"/>
        </w:rPr>
        <w:t> </w:t>
      </w:r>
      <w:r>
        <w:rPr>
          <w:spacing w:val="-2"/>
        </w:rPr>
        <w:t>REQUIRED</w:t>
      </w:r>
      <w:r>
        <w:rPr>
          <w:spacing w:val="-20"/>
        </w:rPr>
        <w:t> </w:t>
      </w:r>
      <w:r>
        <w:rPr>
          <w:spacing w:val="-2"/>
        </w:rPr>
        <w:t>BY</w:t>
      </w:r>
      <w:r>
        <w:rPr>
          <w:spacing w:val="-20"/>
        </w:rPr>
        <w:t> </w:t>
      </w:r>
      <w:r>
        <w:rPr>
          <w:spacing w:val="-4"/>
        </w:rPr>
        <w:t>SARS</w:t>
      </w:r>
    </w:p>
    <w:p>
      <w:pPr>
        <w:pStyle w:val="BodyText"/>
        <w:spacing w:before="9"/>
        <w:rPr>
          <w:rFonts w:ascii="Trebuchet MS"/>
          <w:b/>
          <w:sz w:val="7"/>
        </w:rPr>
      </w:pPr>
    </w:p>
    <w:tbl>
      <w:tblPr>
        <w:tblW w:w="0" w:type="auto"/>
        <w:jc w:val="left"/>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94"/>
        <w:gridCol w:w="1888"/>
      </w:tblGrid>
      <w:tr>
        <w:trPr>
          <w:trHeight w:val="412" w:hRule="atLeast"/>
        </w:trPr>
        <w:tc>
          <w:tcPr>
            <w:tcW w:w="14294" w:type="dxa"/>
            <w:tcBorders>
              <w:top w:val="nil"/>
              <w:bottom w:val="nil"/>
              <w:right w:val="single" w:sz="4" w:space="0" w:color="FFFFFF"/>
            </w:tcBorders>
            <w:shd w:val="clear" w:color="auto" w:fill="000000"/>
          </w:tcPr>
          <w:p>
            <w:pPr>
              <w:pStyle w:val="TableParagraph"/>
              <w:rPr>
                <w:rFonts w:ascii="Times New Roman"/>
                <w:sz w:val="18"/>
              </w:rPr>
            </w:pPr>
          </w:p>
        </w:tc>
        <w:tc>
          <w:tcPr>
            <w:tcW w:w="1888" w:type="dxa"/>
            <w:tcBorders>
              <w:top w:val="nil"/>
              <w:left w:val="single" w:sz="4" w:space="0" w:color="FFFFFF"/>
              <w:bottom w:val="nil"/>
            </w:tcBorders>
            <w:shd w:val="clear" w:color="auto" w:fill="000000"/>
          </w:tcPr>
          <w:p>
            <w:pPr>
              <w:pStyle w:val="TableParagraph"/>
              <w:spacing w:before="77"/>
              <w:ind w:left="9"/>
              <w:jc w:val="center"/>
              <w:rPr>
                <w:sz w:val="16"/>
              </w:rPr>
            </w:pPr>
            <w:r>
              <w:rPr>
                <w:color w:val="FFFFFF"/>
                <w:spacing w:val="-2"/>
                <w:sz w:val="16"/>
              </w:rPr>
              <w:t>TOTAL</w:t>
            </w:r>
          </w:p>
        </w:tc>
      </w:tr>
      <w:tr>
        <w:trPr>
          <w:trHeight w:val="407" w:hRule="atLeast"/>
        </w:trPr>
        <w:tc>
          <w:tcPr>
            <w:tcW w:w="14294" w:type="dxa"/>
            <w:tcBorders>
              <w:top w:val="single" w:sz="2" w:space="0" w:color="000000"/>
            </w:tcBorders>
          </w:tcPr>
          <w:p>
            <w:pPr>
              <w:pStyle w:val="TableParagraph"/>
              <w:spacing w:before="99"/>
              <w:ind w:left="28"/>
              <w:rPr>
                <w:rFonts w:ascii="Arial MT"/>
                <w:sz w:val="16"/>
              </w:rPr>
            </w:pPr>
            <w:r>
              <w:rPr>
                <w:rFonts w:ascii="Arial MT"/>
                <w:sz w:val="16"/>
              </w:rPr>
              <w:t>Opening</w:t>
            </w:r>
            <w:r>
              <w:rPr>
                <w:rFonts w:ascii="Arial MT"/>
                <w:spacing w:val="-4"/>
                <w:sz w:val="16"/>
              </w:rPr>
              <w:t> </w:t>
            </w:r>
            <w:r>
              <w:rPr>
                <w:rFonts w:ascii="Arial MT"/>
                <w:sz w:val="16"/>
              </w:rPr>
              <w:t>kilometres</w:t>
            </w:r>
            <w:r>
              <w:rPr>
                <w:rFonts w:ascii="Arial MT"/>
                <w:spacing w:val="-2"/>
                <w:sz w:val="16"/>
              </w:rPr>
              <w:t> </w:t>
            </w:r>
            <w:r>
              <w:rPr>
                <w:rFonts w:ascii="Arial MT"/>
                <w:sz w:val="16"/>
              </w:rPr>
              <w:t>at</w:t>
            </w:r>
            <w:r>
              <w:rPr>
                <w:rFonts w:ascii="Arial MT"/>
                <w:spacing w:val="-2"/>
                <w:sz w:val="16"/>
              </w:rPr>
              <w:t> </w:t>
            </w:r>
            <w:r>
              <w:rPr>
                <w:rFonts w:ascii="Arial MT"/>
                <w:sz w:val="16"/>
              </w:rPr>
              <w:t>the</w:t>
            </w:r>
            <w:r>
              <w:rPr>
                <w:rFonts w:ascii="Arial MT"/>
                <w:spacing w:val="-2"/>
                <w:sz w:val="16"/>
              </w:rPr>
              <w:t> </w:t>
            </w:r>
            <w:r>
              <w:rPr>
                <w:rFonts w:ascii="Arial MT"/>
                <w:sz w:val="16"/>
              </w:rPr>
              <w:t>beginning</w:t>
            </w:r>
            <w:r>
              <w:rPr>
                <w:rFonts w:ascii="Arial MT"/>
                <w:spacing w:val="-2"/>
                <w:sz w:val="16"/>
              </w:rPr>
              <w:t> </w:t>
            </w:r>
            <w:r>
              <w:rPr>
                <w:rFonts w:ascii="Arial MT"/>
                <w:sz w:val="16"/>
              </w:rPr>
              <w:t>of</w:t>
            </w:r>
            <w:r>
              <w:rPr>
                <w:rFonts w:ascii="Arial MT"/>
                <w:spacing w:val="-2"/>
                <w:sz w:val="16"/>
              </w:rPr>
              <w:t> </w:t>
            </w:r>
            <w:r>
              <w:rPr>
                <w:rFonts w:ascii="Arial MT"/>
                <w:sz w:val="16"/>
              </w:rPr>
              <w:t>the</w:t>
            </w:r>
            <w:r>
              <w:rPr>
                <w:rFonts w:ascii="Arial MT"/>
                <w:spacing w:val="-2"/>
                <w:sz w:val="16"/>
              </w:rPr>
              <w:t> </w:t>
            </w:r>
            <w:r>
              <w:rPr>
                <w:rFonts w:ascii="Arial MT"/>
                <w:sz w:val="16"/>
              </w:rPr>
              <w:t>year</w:t>
            </w:r>
            <w:r>
              <w:rPr>
                <w:rFonts w:ascii="Arial MT"/>
                <w:spacing w:val="-2"/>
                <w:sz w:val="16"/>
              </w:rPr>
              <w:t> </w:t>
            </w:r>
            <w:r>
              <w:rPr>
                <w:rFonts w:ascii="Arial MT"/>
                <w:sz w:val="16"/>
              </w:rPr>
              <w:t>of</w:t>
            </w:r>
            <w:r>
              <w:rPr>
                <w:rFonts w:ascii="Arial MT"/>
                <w:spacing w:val="-2"/>
                <w:sz w:val="16"/>
              </w:rPr>
              <w:t> assessment</w:t>
            </w:r>
          </w:p>
        </w:tc>
        <w:tc>
          <w:tcPr>
            <w:tcW w:w="1888" w:type="dxa"/>
            <w:tcBorders>
              <w:top w:val="nil"/>
            </w:tcBorders>
          </w:tcPr>
          <w:p>
            <w:pPr>
              <w:pStyle w:val="TableParagraph"/>
              <w:rPr>
                <w:rFonts w:ascii="Times New Roman"/>
                <w:sz w:val="18"/>
              </w:rPr>
            </w:pPr>
          </w:p>
        </w:tc>
      </w:tr>
      <w:tr>
        <w:trPr>
          <w:trHeight w:val="410" w:hRule="atLeast"/>
        </w:trPr>
        <w:tc>
          <w:tcPr>
            <w:tcW w:w="14294" w:type="dxa"/>
          </w:tcPr>
          <w:p>
            <w:pPr>
              <w:pStyle w:val="TableParagraph"/>
              <w:spacing w:before="101"/>
              <w:ind w:left="28"/>
              <w:rPr>
                <w:rFonts w:ascii="Arial MT"/>
                <w:sz w:val="16"/>
              </w:rPr>
            </w:pPr>
            <w:r>
              <w:rPr>
                <w:rFonts w:ascii="Arial MT"/>
                <w:sz w:val="16"/>
              </w:rPr>
              <w:t>Closing</w:t>
            </w:r>
            <w:r>
              <w:rPr>
                <w:rFonts w:ascii="Arial MT"/>
                <w:spacing w:val="-2"/>
                <w:sz w:val="16"/>
              </w:rPr>
              <w:t> </w:t>
            </w:r>
            <w:r>
              <w:rPr>
                <w:rFonts w:ascii="Arial MT"/>
                <w:sz w:val="16"/>
              </w:rPr>
              <w:t>kilometres</w:t>
            </w:r>
            <w:r>
              <w:rPr>
                <w:rFonts w:ascii="Arial MT"/>
                <w:spacing w:val="-1"/>
                <w:sz w:val="16"/>
              </w:rPr>
              <w:t> </w:t>
            </w:r>
            <w:r>
              <w:rPr>
                <w:rFonts w:ascii="Arial MT"/>
                <w:sz w:val="16"/>
              </w:rPr>
              <w:t>at</w:t>
            </w:r>
            <w:r>
              <w:rPr>
                <w:rFonts w:ascii="Arial MT"/>
                <w:spacing w:val="-1"/>
                <w:sz w:val="16"/>
              </w:rPr>
              <w:t> </w:t>
            </w:r>
            <w:r>
              <w:rPr>
                <w:rFonts w:ascii="Arial MT"/>
                <w:sz w:val="16"/>
              </w:rPr>
              <w:t>the</w:t>
            </w:r>
            <w:r>
              <w:rPr>
                <w:rFonts w:ascii="Arial MT"/>
                <w:spacing w:val="-2"/>
                <w:sz w:val="16"/>
              </w:rPr>
              <w:t> </w:t>
            </w:r>
            <w:r>
              <w:rPr>
                <w:rFonts w:ascii="Arial MT"/>
                <w:sz w:val="16"/>
              </w:rPr>
              <w:t>end</w:t>
            </w:r>
            <w:r>
              <w:rPr>
                <w:rFonts w:ascii="Arial MT"/>
                <w:spacing w:val="-1"/>
                <w:sz w:val="16"/>
              </w:rPr>
              <w:t> </w:t>
            </w:r>
            <w:r>
              <w:rPr>
                <w:rFonts w:ascii="Arial MT"/>
                <w:sz w:val="16"/>
              </w:rPr>
              <w:t>of</w:t>
            </w:r>
            <w:r>
              <w:rPr>
                <w:rFonts w:ascii="Arial MT"/>
                <w:spacing w:val="-1"/>
                <w:sz w:val="16"/>
              </w:rPr>
              <w:t> </w:t>
            </w:r>
            <w:r>
              <w:rPr>
                <w:rFonts w:ascii="Arial MT"/>
                <w:sz w:val="16"/>
              </w:rPr>
              <w:t>the</w:t>
            </w:r>
            <w:r>
              <w:rPr>
                <w:rFonts w:ascii="Arial MT"/>
                <w:spacing w:val="-2"/>
                <w:sz w:val="16"/>
              </w:rPr>
              <w:t> </w:t>
            </w:r>
            <w:r>
              <w:rPr>
                <w:rFonts w:ascii="Arial MT"/>
                <w:sz w:val="16"/>
              </w:rPr>
              <w:t>year</w:t>
            </w:r>
            <w:r>
              <w:rPr>
                <w:rFonts w:ascii="Arial MT"/>
                <w:spacing w:val="-1"/>
                <w:sz w:val="16"/>
              </w:rPr>
              <w:t> </w:t>
            </w:r>
            <w:r>
              <w:rPr>
                <w:rFonts w:ascii="Arial MT"/>
                <w:sz w:val="16"/>
              </w:rPr>
              <w:t>of</w:t>
            </w:r>
            <w:r>
              <w:rPr>
                <w:rFonts w:ascii="Arial MT"/>
                <w:spacing w:val="-1"/>
                <w:sz w:val="16"/>
              </w:rPr>
              <w:t> </w:t>
            </w:r>
            <w:r>
              <w:rPr>
                <w:rFonts w:ascii="Arial MT"/>
                <w:spacing w:val="-2"/>
                <w:sz w:val="16"/>
              </w:rPr>
              <w:t>assessment</w:t>
            </w:r>
          </w:p>
        </w:tc>
        <w:tc>
          <w:tcPr>
            <w:tcW w:w="1888" w:type="dxa"/>
          </w:tcPr>
          <w:p>
            <w:pPr>
              <w:pStyle w:val="TableParagraph"/>
              <w:rPr>
                <w:rFonts w:ascii="Times New Roman"/>
                <w:sz w:val="18"/>
              </w:rPr>
            </w:pPr>
          </w:p>
        </w:tc>
      </w:tr>
    </w:tbl>
    <w:p>
      <w:pPr>
        <w:pStyle w:val="BodyText"/>
        <w:spacing w:before="178"/>
        <w:rPr>
          <w:rFonts w:ascii="Trebuchet MS"/>
          <w:b/>
          <w:sz w:val="28"/>
        </w:rPr>
      </w:pPr>
    </w:p>
    <w:p>
      <w:pPr>
        <w:pStyle w:val="Heading1"/>
        <w:spacing w:before="1"/>
        <w:ind w:left="364"/>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p>
      <w:pPr>
        <w:pStyle w:val="BodyText"/>
        <w:spacing w:before="4"/>
        <w:rPr>
          <w:rFonts w:ascii="Trebuchet MS"/>
          <w:b/>
          <w:sz w:val="5"/>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2019-07-04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106.08</w:t>
            </w:r>
          </w:p>
        </w:tc>
        <w:tc>
          <w:tcPr>
            <w:tcW w:w="2470" w:type="dxa"/>
            <w:tcBorders>
              <w:top w:val="single" w:sz="2" w:space="0" w:color="000000"/>
            </w:tcBorders>
            <w:shd w:val="clear" w:color="auto" w:fill="EFEFEF"/>
          </w:tcPr>
          <w:p>
            <w:r>
              <w:t>Thabo Mbeki Drive, Mookgophong Ward 4, Mookgophong, Mookgopong Local Municipality, Waterberg District Municipality</w:t>
            </w:r>
          </w:p>
        </w:tc>
        <w:tc>
          <w:tcPr>
            <w:tcW w:w="2070" w:type="dxa"/>
            <w:tcBorders>
              <w:top w:val="single" w:sz="2" w:space="0" w:color="000000"/>
            </w:tcBorders>
            <w:shd w:val="clear" w:color="auto" w:fill="EFEFEF"/>
          </w:tcPr>
          <w:p>
            <w:r>
              <w:t>Industria Street, Industria, Polokwane Ward 20, Polokwane, Polokwane Local Municipality</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2019-07-04 00:00:00</w:t>
            </w:r>
          </w:p>
        </w:tc>
        <w:tc>
          <w:tcPr>
            <w:tcW w:w="1443" w:type="dxa"/>
          </w:tcPr>
          <w:p>
            <w:r/>
          </w:p>
        </w:tc>
        <w:tc>
          <w:tcPr>
            <w:tcW w:w="1443" w:type="dxa"/>
          </w:tcPr>
          <w:p>
            <w:r/>
          </w:p>
        </w:tc>
        <w:tc>
          <w:tcPr>
            <w:tcW w:w="1443" w:type="dxa"/>
          </w:tcPr>
          <w:p>
            <w:r>
              <w:t>69.23</w:t>
            </w:r>
          </w:p>
        </w:tc>
        <w:tc>
          <w:tcPr>
            <w:tcW w:w="2470" w:type="dxa"/>
            <w:shd w:val="clear" w:color="auto" w:fill="EFEFEF"/>
          </w:tcPr>
          <w:p>
            <w:r>
              <w:t>nan</w:t>
            </w:r>
          </w:p>
        </w:tc>
        <w:tc>
          <w:tcPr>
            <w:tcW w:w="2070" w:type="dxa"/>
            <w:shd w:val="clear" w:color="auto" w:fill="EFEFEF"/>
          </w:tcPr>
          <w:p>
            <w:r>
              <w:t>KFC, N1, Mogalakwena Ward 12, Mokopane, Mogalakwena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2019-07-04 00:00:00</w:t>
            </w:r>
          </w:p>
        </w:tc>
        <w:tc>
          <w:tcPr>
            <w:tcW w:w="1443" w:type="dxa"/>
          </w:tcPr>
          <w:p>
            <w:r/>
          </w:p>
        </w:tc>
        <w:tc>
          <w:tcPr>
            <w:tcW w:w="1443" w:type="dxa"/>
          </w:tcPr>
          <w:p>
            <w:r/>
          </w:p>
        </w:tc>
        <w:tc>
          <w:tcPr>
            <w:tcW w:w="1443" w:type="dxa"/>
          </w:tcPr>
          <w:p>
            <w:r>
              <w:t>82.45</w:t>
            </w:r>
          </w:p>
        </w:tc>
        <w:tc>
          <w:tcPr>
            <w:tcW w:w="2470" w:type="dxa"/>
            <w:shd w:val="clear" w:color="auto" w:fill="EFEFEF"/>
          </w:tcPr>
          <w:p>
            <w:r>
              <w:t>Zebetiela 1 Stop, N1, Mogalakwena Ward 12, Mokopane, Mogalakwena Local Municipality</w:t>
            </w:r>
          </w:p>
        </w:tc>
        <w:tc>
          <w:tcPr>
            <w:tcW w:w="2070" w:type="dxa"/>
            <w:shd w:val="clear" w:color="auto" w:fill="EFEFEF"/>
          </w:tcPr>
          <w:p>
            <w:r>
              <w:t>nan</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0" w:hRule="atLeast"/>
        </w:trPr>
        <w:tc>
          <w:tcPr>
            <w:tcW w:w="1443" w:type="dxa"/>
          </w:tcPr>
          <w:p>
            <w:r>
              <w:t>2019-07-05 00:00:00</w:t>
            </w:r>
          </w:p>
        </w:tc>
        <w:tc>
          <w:tcPr>
            <w:tcW w:w="1443" w:type="dxa"/>
          </w:tcPr>
          <w:p>
            <w:r/>
          </w:p>
        </w:tc>
        <w:tc>
          <w:tcPr>
            <w:tcW w:w="1443" w:type="dxa"/>
          </w:tcPr>
          <w:p>
            <w:r/>
          </w:p>
        </w:tc>
        <w:tc>
          <w:tcPr>
            <w:tcW w:w="1443" w:type="dxa"/>
          </w:tcPr>
          <w:p>
            <w:r>
              <w:t>1.58</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Engen, 31, C.R. Swart Drive, Wilropark, Johannesburg Ward 83</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0" w:hRule="atLeast"/>
        </w:trPr>
        <w:tc>
          <w:tcPr>
            <w:tcW w:w="1443" w:type="dxa"/>
          </w:tcPr>
          <w:p>
            <w:r>
              <w:t>2019-07-05 00:00:00</w:t>
            </w:r>
          </w:p>
        </w:tc>
        <w:tc>
          <w:tcPr>
            <w:tcW w:w="1443" w:type="dxa"/>
          </w:tcPr>
          <w:p>
            <w:r/>
          </w:p>
        </w:tc>
        <w:tc>
          <w:tcPr>
            <w:tcW w:w="1443" w:type="dxa"/>
          </w:tcPr>
          <w:p>
            <w:r/>
          </w:p>
        </w:tc>
        <w:tc>
          <w:tcPr>
            <w:tcW w:w="1443" w:type="dxa"/>
          </w:tcPr>
          <w:p>
            <w:r>
              <w:t>1.22</w:t>
            </w:r>
          </w:p>
        </w:tc>
        <w:tc>
          <w:tcPr>
            <w:tcW w:w="2470" w:type="dxa"/>
            <w:shd w:val="clear" w:color="auto" w:fill="EFEFEF"/>
          </w:tcPr>
          <w:p>
            <w:r>
              <w:t>Engen, 31, C.R. Swart Drive, Wilropark, Johannesburg Ward 83</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0" w:hRule="atLeast"/>
        </w:trPr>
        <w:tc>
          <w:tcPr>
            <w:tcW w:w="1443" w:type="dxa"/>
          </w:tcPr>
          <w:p>
            <w:r>
              <w:t>2019-07-05 00:00:00</w:t>
            </w:r>
          </w:p>
        </w:tc>
        <w:tc>
          <w:tcPr>
            <w:tcW w:w="1443" w:type="dxa"/>
          </w:tcPr>
          <w:p>
            <w:r/>
          </w:p>
        </w:tc>
        <w:tc>
          <w:tcPr>
            <w:tcW w:w="1443" w:type="dxa"/>
          </w:tcPr>
          <w:p>
            <w:r/>
          </w:p>
        </w:tc>
        <w:tc>
          <w:tcPr>
            <w:tcW w:w="1443" w:type="dxa"/>
          </w:tcPr>
          <w:p>
            <w:r>
              <w:t>1.29</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0.62</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2.71</w:t>
            </w:r>
          </w:p>
        </w:tc>
        <w:tc>
          <w:tcPr>
            <w:tcW w:w="2470" w:type="dxa"/>
            <w:shd w:val="clear" w:color="auto" w:fill="EFEFEF"/>
          </w:tcPr>
          <w:p>
            <w:r>
              <w:t>Ontdekkers Road,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7" w:hRule="atLeast"/>
        </w:trPr>
        <w:tc>
          <w:tcPr>
            <w:tcW w:w="1443" w:type="dxa"/>
          </w:tcPr>
          <w:p>
            <w:r>
              <w:t>2019-07-06 00:00:00</w:t>
            </w:r>
          </w:p>
        </w:tc>
        <w:tc>
          <w:tcPr>
            <w:tcW w:w="1443" w:type="dxa"/>
          </w:tcPr>
          <w:p>
            <w:r/>
          </w:p>
        </w:tc>
        <w:tc>
          <w:tcPr>
            <w:tcW w:w="1443" w:type="dxa"/>
          </w:tcPr>
          <w:p>
            <w:r/>
          </w:p>
        </w:tc>
        <w:tc>
          <w:tcPr>
            <w:tcW w:w="1443" w:type="dxa"/>
          </w:tcPr>
          <w:p>
            <w:r>
              <w:t>9.28</w:t>
            </w:r>
          </w:p>
        </w:tc>
        <w:tc>
          <w:tcPr>
            <w:tcW w:w="2470" w:type="dxa"/>
            <w:shd w:val="clear" w:color="auto" w:fill="EFEFEF"/>
          </w:tcPr>
          <w:p>
            <w:r>
              <w:t>Wentworth Park, Mogale City Ward 14, Krugersdorp, Mogale City Local Municipality, West Rand District Municipality</w:t>
            </w:r>
          </w:p>
        </w:tc>
        <w:tc>
          <w:tcPr>
            <w:tcW w:w="2070" w:type="dxa"/>
            <w:shd w:val="clear" w:color="auto" w:fill="EFEFEF"/>
          </w:tcPr>
          <w:p>
            <w:r>
              <w:t>Ontdekkers Road,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1.38</w:t>
            </w:r>
          </w:p>
        </w:tc>
        <w:tc>
          <w:tcPr>
            <w:tcW w:w="2470" w:type="dxa"/>
            <w:shd w:val="clear" w:color="auto" w:fill="EFEFEF"/>
          </w:tcPr>
          <w:p>
            <w:r>
              <w:t>Wentworth Park, Mogale City Ward 14, Krugersdorp, Mogale City Local Municipality, West Rand District Municipality</w:t>
            </w:r>
          </w:p>
        </w:tc>
        <w:tc>
          <w:tcPr>
            <w:tcW w:w="2070" w:type="dxa"/>
            <w:shd w:val="clear" w:color="auto" w:fill="EFEFEF"/>
          </w:tcPr>
          <w:p>
            <w:r>
              <w:t>nan</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2019-07-06 00:00:00</w:t>
            </w:r>
          </w:p>
        </w:tc>
        <w:tc>
          <w:tcPr>
            <w:tcW w:w="1443" w:type="dxa"/>
            <w:shd w:val="clear" w:color="auto" w:fill="EFEFEF"/>
          </w:tcPr>
          <w:p>
            <w:r/>
          </w:p>
        </w:tc>
        <w:tc>
          <w:tcPr>
            <w:tcW w:w="1443" w:type="dxa"/>
            <w:shd w:val="clear" w:color="auto" w:fill="EFEFEF"/>
          </w:tcPr>
          <w:p>
            <w:r/>
          </w:p>
        </w:tc>
        <w:tc>
          <w:tcPr>
            <w:tcW w:w="1443" w:type="dxa"/>
            <w:shd w:val="clear" w:color="auto" w:fill="EFEFEF"/>
          </w:tcPr>
          <w:p>
            <w:r>
              <w:t>8.52</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Wentworth Park, Mogale City Ward 14, Krugersdorp, Mogale City Local Municipality, West Rand District Municipality</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headerReference w:type="default" r:id="rId7"/>
          <w:footerReference w:type="default" r:id="rId8"/>
          <w:pgSz w:w="16840" w:h="11910" w:orient="landscape"/>
          <w:pgMar w:header="269" w:footer="359" w:top="980" w:bottom="540" w:left="0" w:right="0"/>
        </w:sectPr>
      </w:pPr>
    </w:p>
    <w:p>
      <w:pPr>
        <w:pStyle w:val="BodyText"/>
        <w:spacing w:before="254"/>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2019-07-06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2.0</w:t>
            </w:r>
          </w:p>
        </w:tc>
        <w:tc>
          <w:tcPr>
            <w:tcW w:w="2470" w:type="dxa"/>
            <w:tcBorders>
              <w:top w:val="single" w:sz="2" w:space="0" w:color="000000"/>
            </w:tcBorders>
            <w:shd w:val="clear" w:color="auto" w:fill="EFEFEF"/>
          </w:tcPr>
          <w:p>
            <w:r>
              <w:t>Elkie Drive, Breaunanda, Johannesburg Ward 83, Roodepoort, City of Johannesburg Metropolitan Municipality</w:t>
            </w:r>
          </w:p>
        </w:tc>
        <w:tc>
          <w:tcPr>
            <w:tcW w:w="2070" w:type="dxa"/>
            <w:tcBorders>
              <w:top w:val="single" w:sz="2" w:space="0" w:color="000000"/>
            </w:tcBorders>
            <w:shd w:val="clear" w:color="auto" w:fill="EFEFEF"/>
          </w:tcPr>
          <w:p>
            <w:r>
              <w:t>C.R. Swart Drive, Breaunanda, Johannesburg Ward 83, Roodepoort, City of Johannesburg Metropolitan Municipality</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0.71</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1.96</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C.R. Swart Drive, Wilropark,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2.11</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1.41</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0.64</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2.4</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2.03</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2019-07-06 00:00:00</w:t>
            </w:r>
          </w:p>
        </w:tc>
        <w:tc>
          <w:tcPr>
            <w:tcW w:w="1443" w:type="dxa"/>
          </w:tcPr>
          <w:p>
            <w:r/>
          </w:p>
        </w:tc>
        <w:tc>
          <w:tcPr>
            <w:tcW w:w="1443" w:type="dxa"/>
          </w:tcPr>
          <w:p>
            <w:r/>
          </w:p>
        </w:tc>
        <w:tc>
          <w:tcPr>
            <w:tcW w:w="1443" w:type="dxa"/>
          </w:tcPr>
          <w:p>
            <w:r>
              <w:t>1.46</w:t>
            </w:r>
          </w:p>
        </w:tc>
        <w:tc>
          <w:tcPr>
            <w:tcW w:w="2470" w:type="dxa"/>
            <w:shd w:val="clear" w:color="auto" w:fill="EFEFEF"/>
          </w:tcPr>
          <w:p>
            <w:r>
              <w:t>Caledon Street, Breaunanda, Johannesburg Ward 83, Roodepoort, City of Johannesburg Metropolitan Municipality</w:t>
            </w:r>
          </w:p>
        </w:tc>
        <w:tc>
          <w:tcPr>
            <w:tcW w:w="2070" w:type="dxa"/>
            <w:shd w:val="clear" w:color="auto" w:fill="EFEFEF"/>
          </w:tcPr>
          <w:p>
            <w:r>
              <w:t>nan</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0.45</w:t>
            </w:r>
          </w:p>
        </w:tc>
        <w:tc>
          <w:tcPr>
            <w:tcW w:w="2470" w:type="dxa"/>
            <w:shd w:val="clear" w:color="auto" w:fill="EFEFEF"/>
          </w:tcPr>
          <w:p>
            <w:r>
              <w:t>46, Hamilton Avenue, Craighall Park, Johannesburg Ward 90, Randburg</w:t>
            </w:r>
          </w:p>
        </w:tc>
        <w:tc>
          <w:tcPr>
            <w:tcW w:w="2070" w:type="dxa"/>
            <w:shd w:val="clear" w:color="auto" w:fill="EFEFEF"/>
          </w:tcPr>
          <w:p>
            <w:r>
              <w:t>Hamilton Avenue, Craighall Park, Johannesburg Ward 90, Randburg,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1.21</w:t>
            </w:r>
          </w:p>
        </w:tc>
        <w:tc>
          <w:tcPr>
            <w:tcW w:w="2470" w:type="dxa"/>
            <w:shd w:val="clear" w:color="auto" w:fill="EFEFEF"/>
          </w:tcPr>
          <w:p>
            <w:r>
              <w:t>Helderkruin Vet Clinic, 71, Naboom Street, Breaunanda, Johannesburg Ward 83</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2.69</w:t>
            </w:r>
          </w:p>
        </w:tc>
        <w:tc>
          <w:tcPr>
            <w:tcW w:w="2470" w:type="dxa"/>
            <w:shd w:val="clear" w:color="auto" w:fill="EFEFEF"/>
          </w:tcPr>
          <w:p>
            <w:r>
              <w:t>Amaryllis Drive, Roodekrans, Johannesburg Ward 83, Roodepoort, City of Johannesburg Metropolitan Municipality</w:t>
            </w:r>
          </w:p>
        </w:tc>
        <w:tc>
          <w:tcPr>
            <w:tcW w:w="2070" w:type="dxa"/>
            <w:shd w:val="clear" w:color="auto" w:fill="EFEFEF"/>
          </w:tcPr>
          <w:p>
            <w:r>
              <w:t>Helderkruin Vet Clinic, 71, Naboom Street, Breaunanda, Johannesburg Ward 83</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17.28</w:t>
            </w:r>
          </w:p>
        </w:tc>
        <w:tc>
          <w:tcPr>
            <w:tcW w:w="2470" w:type="dxa"/>
            <w:shd w:val="clear" w:color="auto" w:fill="EFEFEF"/>
          </w:tcPr>
          <w:p>
            <w:r>
              <w:t>nan</w:t>
            </w:r>
          </w:p>
        </w:tc>
        <w:tc>
          <w:tcPr>
            <w:tcW w:w="2070" w:type="dxa"/>
            <w:shd w:val="clear" w:color="auto" w:fill="EFEFEF"/>
          </w:tcPr>
          <w:p>
            <w:r>
              <w:t>Amaryllis Drive,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2019-07-08 00:00:00</w:t>
            </w:r>
          </w:p>
        </w:tc>
        <w:tc>
          <w:tcPr>
            <w:tcW w:w="1443" w:type="dxa"/>
            <w:shd w:val="clear" w:color="auto" w:fill="EFEFEF"/>
          </w:tcPr>
          <w:p>
            <w:r/>
          </w:p>
        </w:tc>
        <w:tc>
          <w:tcPr>
            <w:tcW w:w="1443" w:type="dxa"/>
            <w:shd w:val="clear" w:color="auto" w:fill="EFEFEF"/>
          </w:tcPr>
          <w:p>
            <w:r/>
          </w:p>
        </w:tc>
        <w:tc>
          <w:tcPr>
            <w:tcW w:w="1443" w:type="dxa"/>
            <w:shd w:val="clear" w:color="auto" w:fill="EFEFEF"/>
          </w:tcPr>
          <w:p>
            <w:r>
              <w:t>11.72</w:t>
            </w:r>
          </w:p>
        </w:tc>
        <w:tc>
          <w:tcPr>
            <w:tcW w:w="2470" w:type="dxa"/>
            <w:shd w:val="clear" w:color="auto" w:fill="EFEFEF"/>
          </w:tcPr>
          <w:p>
            <w:r>
              <w:t>Luipaard Street, Olivanna, Mogale City Ward 20, Krugersdorp, Mogale City Local Municipality</w:t>
            </w:r>
          </w:p>
        </w:tc>
        <w:tc>
          <w:tcPr>
            <w:tcW w:w="2070" w:type="dxa"/>
            <w:shd w:val="clear" w:color="auto" w:fill="EFEFEF"/>
          </w:tcPr>
          <w:p>
            <w:r>
              <w:t>Mogale City Ward 30, Krugersdorp, Mogale City Local Municipality, West Rand District Municipality, Gauteng</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headerReference w:type="default" r:id="rId9"/>
          <w:footerReference w:type="default" r:id="rId10"/>
          <w:pgSz w:w="16840" w:h="11910" w:orient="landscape"/>
          <w:pgMar w:header="241" w:footer="222" w:top="940" w:bottom="420" w:left="0" w:right="0"/>
        </w:sectPr>
      </w:pPr>
    </w:p>
    <w:p>
      <w:pPr>
        <w:pStyle w:val="BodyText"/>
        <w:spacing w:before="254"/>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2019-07-08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17.73</w:t>
            </w:r>
          </w:p>
        </w:tc>
        <w:tc>
          <w:tcPr>
            <w:tcW w:w="2470" w:type="dxa"/>
            <w:tcBorders>
              <w:top w:val="single" w:sz="2" w:space="0" w:color="000000"/>
            </w:tcBorders>
            <w:shd w:val="clear" w:color="auto" w:fill="EFEFEF"/>
          </w:tcPr>
          <w:p>
            <w:r>
              <w:t>Caledon Street, Breaunanda, Johannesburg Ward 83, Roodepoort, City of Johannesburg Metropolitan Municipality</w:t>
            </w:r>
          </w:p>
        </w:tc>
        <w:tc>
          <w:tcPr>
            <w:tcW w:w="2070" w:type="dxa"/>
            <w:tcBorders>
              <w:top w:val="single" w:sz="2" w:space="0" w:color="000000"/>
            </w:tcBorders>
            <w:shd w:val="clear" w:color="auto" w:fill="EFEFEF"/>
          </w:tcPr>
          <w:p>
            <w:r>
              <w:t>Paardekraal Drive, Olivanna, Mogale City Ward 20, Krugersdorp, Mogale City Local Municipality</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24.5</w:t>
            </w:r>
          </w:p>
        </w:tc>
        <w:tc>
          <w:tcPr>
            <w:tcW w:w="2470" w:type="dxa"/>
            <w:shd w:val="clear" w:color="auto" w:fill="EFEFEF"/>
          </w:tcPr>
          <w:p>
            <w:r>
              <w:t>Buckingham Avenue, Craighall Park, Johannesburg Ward 90, Randburg, City of Johannesburg Metropolitan Municipality</w:t>
            </w:r>
          </w:p>
        </w:tc>
        <w:tc>
          <w:tcPr>
            <w:tcW w:w="2070" w:type="dxa"/>
            <w:shd w:val="clear" w:color="auto" w:fill="EFEFEF"/>
          </w:tcPr>
          <w:p>
            <w:r>
              <w:t>Caledon Street,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8.99</w:t>
            </w:r>
          </w:p>
        </w:tc>
        <w:tc>
          <w:tcPr>
            <w:tcW w:w="2470" w:type="dxa"/>
            <w:shd w:val="clear" w:color="auto" w:fill="EFEFEF"/>
          </w:tcPr>
          <w:p>
            <w:r>
              <w:t>nan</w:t>
            </w:r>
          </w:p>
        </w:tc>
        <w:tc>
          <w:tcPr>
            <w:tcW w:w="2070" w:type="dxa"/>
            <w:shd w:val="clear" w:color="auto" w:fill="EFEFEF"/>
          </w:tcPr>
          <w:p>
            <w:r>
              <w:t>46, Hamilton Avenue, Craighall Park, Johannesburg Ward 90, Randburg</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0.17</w:t>
            </w:r>
          </w:p>
        </w:tc>
        <w:tc>
          <w:tcPr>
            <w:tcW w:w="2470" w:type="dxa"/>
            <w:shd w:val="clear" w:color="auto" w:fill="EFEFEF"/>
          </w:tcPr>
          <w:p>
            <w:r>
              <w:t>Villa Sole, Bromhof, Johannesburg Ward 101, Randburg, City of Johannesburg Metropolitan Municipality</w:t>
            </w:r>
          </w:p>
        </w:tc>
        <w:tc>
          <w:tcPr>
            <w:tcW w:w="2070" w:type="dxa"/>
            <w:shd w:val="clear" w:color="auto" w:fill="EFEFEF"/>
          </w:tcPr>
          <w:p>
            <w:r>
              <w:t>Standard Bank, President Fouche Drive, Boskruin, Johannesburg Ward 101, Randburg</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2.57</w:t>
            </w:r>
          </w:p>
        </w:tc>
        <w:tc>
          <w:tcPr>
            <w:tcW w:w="2470" w:type="dxa"/>
            <w:shd w:val="clear" w:color="auto" w:fill="EFEFEF"/>
          </w:tcPr>
          <w:p>
            <w:r>
              <w:t>Harry Sneech Road, Strydom Park, Johannesburg Ward 101, Randburg, City of Johannesburg Metropolitan Municipality</w:t>
            </w:r>
          </w:p>
        </w:tc>
        <w:tc>
          <w:tcPr>
            <w:tcW w:w="2070" w:type="dxa"/>
            <w:shd w:val="clear" w:color="auto" w:fill="EFEFEF"/>
          </w:tcPr>
          <w:p>
            <w:r>
              <w:t>Akeso Crescent Clinic Randburg, President Fouche Drive, Bromhof, Johannesburg Ward 101, Randburg</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4.9</w:t>
            </w:r>
          </w:p>
        </w:tc>
        <w:tc>
          <w:tcPr>
            <w:tcW w:w="2470" w:type="dxa"/>
            <w:shd w:val="clear" w:color="auto" w:fill="EFEFEF"/>
          </w:tcPr>
          <w:p>
            <w:r>
              <w:t>Beyers Naudé Drive, Honeydew, Randpark Ridge, Randburg, City of Johannesburg Metropolitan Municipality</w:t>
            </w:r>
          </w:p>
        </w:tc>
        <w:tc>
          <w:tcPr>
            <w:tcW w:w="2070" w:type="dxa"/>
            <w:shd w:val="clear" w:color="auto" w:fill="EFEFEF"/>
          </w:tcPr>
          <w:p>
            <w:r>
              <w:t>Harry Sneech Road, Strydom Park, Johannesburg Ward 101, Randburg,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11.94</w:t>
            </w:r>
          </w:p>
        </w:tc>
        <w:tc>
          <w:tcPr>
            <w:tcW w:w="2470" w:type="dxa"/>
            <w:shd w:val="clear" w:color="auto" w:fill="EFEFEF"/>
          </w:tcPr>
          <w:p>
            <w:r>
              <w:t>Falls Road, Mogale City Ward 28, Krugersdorp, Mogale City Local Municipality, West Rand District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13.51</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nan</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3.19</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3.57</w:t>
            </w:r>
          </w:p>
        </w:tc>
        <w:tc>
          <w:tcPr>
            <w:tcW w:w="2470" w:type="dxa"/>
            <w:shd w:val="clear" w:color="auto" w:fill="EFEFEF"/>
          </w:tcPr>
          <w:p>
            <w:r>
              <w:t>Harvey Street, Lewisham, Mogale City Ward 16, Krugersdorp, Mogale City Local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5.9</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Harvey Street, Lewisham, Mogale City Ward 16,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2019-07-08 00:00:00</w:t>
            </w:r>
          </w:p>
        </w:tc>
        <w:tc>
          <w:tcPr>
            <w:tcW w:w="1443" w:type="dxa"/>
          </w:tcPr>
          <w:p>
            <w:r/>
          </w:p>
        </w:tc>
        <w:tc>
          <w:tcPr>
            <w:tcW w:w="1443" w:type="dxa"/>
          </w:tcPr>
          <w:p>
            <w:r/>
          </w:p>
        </w:tc>
        <w:tc>
          <w:tcPr>
            <w:tcW w:w="1443" w:type="dxa"/>
          </w:tcPr>
          <w:p>
            <w:r>
              <w:t>3.36</w:t>
            </w:r>
          </w:p>
        </w:tc>
        <w:tc>
          <w:tcPr>
            <w:tcW w:w="2470" w:type="dxa"/>
            <w:shd w:val="clear" w:color="auto" w:fill="EFEFEF"/>
          </w:tcPr>
          <w:p>
            <w:r>
              <w:t>Naboom Street, Breaunanda, Johannesburg Ward 83, Roodepoort, City of Johannesburg Metropolitan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2019-07-12 00:00:00</w:t>
            </w:r>
          </w:p>
        </w:tc>
        <w:tc>
          <w:tcPr>
            <w:tcW w:w="1443" w:type="dxa"/>
          </w:tcPr>
          <w:p>
            <w:r/>
          </w:p>
        </w:tc>
        <w:tc>
          <w:tcPr>
            <w:tcW w:w="1443" w:type="dxa"/>
          </w:tcPr>
          <w:p>
            <w:r/>
          </w:p>
        </w:tc>
        <w:tc>
          <w:tcPr>
            <w:tcW w:w="1443" w:type="dxa"/>
          </w:tcPr>
          <w:p>
            <w:r>
              <w:t>12.44</w:t>
            </w:r>
          </w:p>
        </w:tc>
        <w:tc>
          <w:tcPr>
            <w:tcW w:w="2470" w:type="dxa"/>
            <w:shd w:val="clear" w:color="auto" w:fill="EFEFEF"/>
          </w:tcPr>
          <w:p>
            <w:r>
              <w:t>SA Red Cross Society, Edmond Street, Tshwane Ward 58, Pretoria, City of Tshwane Metropolitan Municipality</w:t>
            </w:r>
          </w:p>
        </w:tc>
        <w:tc>
          <w:tcPr>
            <w:tcW w:w="2070" w:type="dxa"/>
            <w:shd w:val="clear" w:color="auto" w:fill="EFEFEF"/>
          </w:tcPr>
          <w:p>
            <w:r>
              <w:t>Van Riebeeck Road, Hermanstad, Tshwane Ward 1, Pretoria, City of Tshwane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2019-07-12 00:00:00</w:t>
            </w:r>
          </w:p>
        </w:tc>
        <w:tc>
          <w:tcPr>
            <w:tcW w:w="1443" w:type="dxa"/>
            <w:shd w:val="clear" w:color="auto" w:fill="EFEFEF"/>
          </w:tcPr>
          <w:p>
            <w:r/>
          </w:p>
        </w:tc>
        <w:tc>
          <w:tcPr>
            <w:tcW w:w="1443" w:type="dxa"/>
            <w:shd w:val="clear" w:color="auto" w:fill="EFEFEF"/>
          </w:tcPr>
          <w:p>
            <w:r/>
          </w:p>
        </w:tc>
        <w:tc>
          <w:tcPr>
            <w:tcW w:w="1443" w:type="dxa"/>
            <w:shd w:val="clear" w:color="auto" w:fill="EFEFEF"/>
          </w:tcPr>
          <w:p>
            <w:r>
              <w:t>54.91</w:t>
            </w:r>
          </w:p>
        </w:tc>
        <w:tc>
          <w:tcPr>
            <w:tcW w:w="2470" w:type="dxa"/>
            <w:shd w:val="clear" w:color="auto" w:fill="EFEFEF"/>
          </w:tcPr>
          <w:p>
            <w:r>
              <w:t>Van Riebeeck Road, Hermanstad, Tshwane Ward 1, Pretoria, City of Tshwane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55"/>
        <w:rPr>
          <w:rFonts w:ascii="Trebuchet MS"/>
          <w:b/>
          <w:sz w:val="28"/>
        </w:rPr>
      </w:pPr>
    </w:p>
    <w:p>
      <w:pPr>
        <w:pStyle w:val="Heading1"/>
        <w:spacing w:after="51"/>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2019-07-13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2.1</w:t>
            </w:r>
          </w:p>
        </w:tc>
        <w:tc>
          <w:tcPr>
            <w:tcW w:w="2470" w:type="dxa"/>
            <w:tcBorders>
              <w:top w:val="single" w:sz="2" w:space="0" w:color="000000"/>
            </w:tcBorders>
            <w:shd w:val="clear" w:color="auto" w:fill="EFEFEF"/>
          </w:tcPr>
          <w:p>
            <w:r>
              <w:t>Stokroos Avenue, Mindalore North, Mogale City Ward 18, Krugersdorp, Mogale City Local Municipality</w:t>
            </w:r>
          </w:p>
        </w:tc>
        <w:tc>
          <w:tcPr>
            <w:tcW w:w="2070" w:type="dxa"/>
            <w:tcBorders>
              <w:top w:val="single" w:sz="2" w:space="0" w:color="000000"/>
            </w:tcBorders>
            <w:shd w:val="clear" w:color="auto" w:fill="EFEFEF"/>
          </w:tcPr>
          <w:p>
            <w:r>
              <w:t>Pick n Pay Hyper, 54, Ontdekkers Road, Breaunanda, Johannesburg Ward 83</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2019-07-13 00:00:00</w:t>
            </w:r>
          </w:p>
        </w:tc>
        <w:tc>
          <w:tcPr>
            <w:tcW w:w="1443" w:type="dxa"/>
          </w:tcPr>
          <w:p>
            <w:r/>
          </w:p>
        </w:tc>
        <w:tc>
          <w:tcPr>
            <w:tcW w:w="1443" w:type="dxa"/>
          </w:tcPr>
          <w:p>
            <w:r/>
          </w:p>
        </w:tc>
        <w:tc>
          <w:tcPr>
            <w:tcW w:w="1443" w:type="dxa"/>
          </w:tcPr>
          <w:p>
            <w:r>
              <w:t>2.47</w:t>
            </w:r>
          </w:p>
        </w:tc>
        <w:tc>
          <w:tcPr>
            <w:tcW w:w="2470" w:type="dxa"/>
            <w:shd w:val="clear" w:color="auto" w:fill="EFEFEF"/>
          </w:tcPr>
          <w:p>
            <w:r>
              <w:t>Ontdekkers Road,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2019-07-14 00:00:00</w:t>
            </w:r>
          </w:p>
        </w:tc>
        <w:tc>
          <w:tcPr>
            <w:tcW w:w="1443" w:type="dxa"/>
          </w:tcPr>
          <w:p>
            <w:r/>
          </w:p>
        </w:tc>
        <w:tc>
          <w:tcPr>
            <w:tcW w:w="1443" w:type="dxa"/>
          </w:tcPr>
          <w:p>
            <w:r/>
          </w:p>
        </w:tc>
        <w:tc>
          <w:tcPr>
            <w:tcW w:w="1443" w:type="dxa"/>
          </w:tcPr>
          <w:p>
            <w:r>
              <w:t>1.58</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2019-07-14 00:00:00</w:t>
            </w:r>
          </w:p>
        </w:tc>
        <w:tc>
          <w:tcPr>
            <w:tcW w:w="1443" w:type="dxa"/>
          </w:tcPr>
          <w:p>
            <w:r/>
          </w:p>
        </w:tc>
        <w:tc>
          <w:tcPr>
            <w:tcW w:w="1443" w:type="dxa"/>
          </w:tcPr>
          <w:p>
            <w:r/>
          </w:p>
        </w:tc>
        <w:tc>
          <w:tcPr>
            <w:tcW w:w="1443" w:type="dxa"/>
          </w:tcPr>
          <w:p>
            <w:r>
              <w:t>22.89</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2019-07-14 00:00:00</w:t>
            </w:r>
          </w:p>
        </w:tc>
        <w:tc>
          <w:tcPr>
            <w:tcW w:w="1443" w:type="dxa"/>
          </w:tcPr>
          <w:p>
            <w:r/>
          </w:p>
        </w:tc>
        <w:tc>
          <w:tcPr>
            <w:tcW w:w="1443" w:type="dxa"/>
          </w:tcPr>
          <w:p>
            <w:r/>
          </w:p>
        </w:tc>
        <w:tc>
          <w:tcPr>
            <w:tcW w:w="1443" w:type="dxa"/>
          </w:tcPr>
          <w:p>
            <w:r>
              <w:t>10.95</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2019-07-14 00:00:00</w:t>
            </w:r>
          </w:p>
        </w:tc>
        <w:tc>
          <w:tcPr>
            <w:tcW w:w="1443" w:type="dxa"/>
          </w:tcPr>
          <w:p>
            <w:r/>
          </w:p>
        </w:tc>
        <w:tc>
          <w:tcPr>
            <w:tcW w:w="1443" w:type="dxa"/>
          </w:tcPr>
          <w:p>
            <w:r/>
          </w:p>
        </w:tc>
        <w:tc>
          <w:tcPr>
            <w:tcW w:w="1443" w:type="dxa"/>
          </w:tcPr>
          <w:p>
            <w:r>
              <w:t>1.36</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2019-07-14 00:00:00</w:t>
            </w:r>
          </w:p>
        </w:tc>
        <w:tc>
          <w:tcPr>
            <w:tcW w:w="1443" w:type="dxa"/>
          </w:tcPr>
          <w:p>
            <w:r/>
          </w:p>
        </w:tc>
        <w:tc>
          <w:tcPr>
            <w:tcW w:w="1443" w:type="dxa"/>
          </w:tcPr>
          <w:p>
            <w:r/>
          </w:p>
        </w:tc>
        <w:tc>
          <w:tcPr>
            <w:tcW w:w="1443" w:type="dxa"/>
          </w:tcPr>
          <w:p>
            <w:r>
              <w:t>4.54</w:t>
            </w:r>
          </w:p>
        </w:tc>
        <w:tc>
          <w:tcPr>
            <w:tcW w:w="2470" w:type="dxa"/>
            <w:shd w:val="clear" w:color="auto" w:fill="EFEFEF"/>
          </w:tcPr>
          <w:p>
            <w:r>
              <w:t>Peter Road, Wilgeheuwel, Johannesburg Ward 97, Roodepoort, City of Johannesburg Metropolitan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2019-07-14 00:00:00</w:t>
            </w:r>
          </w:p>
        </w:tc>
        <w:tc>
          <w:tcPr>
            <w:tcW w:w="1443" w:type="dxa"/>
          </w:tcPr>
          <w:p>
            <w:r/>
          </w:p>
        </w:tc>
        <w:tc>
          <w:tcPr>
            <w:tcW w:w="1443" w:type="dxa"/>
          </w:tcPr>
          <w:p>
            <w:r/>
          </w:p>
        </w:tc>
        <w:tc>
          <w:tcPr>
            <w:tcW w:w="1443" w:type="dxa"/>
          </w:tcPr>
          <w:p>
            <w:r>
              <w:t>10.42</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Van Dalen Road South, Wilgeheuwel, Johannesburg Ward 97,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2019-07-15 00:00:00</w:t>
            </w:r>
          </w:p>
        </w:tc>
        <w:tc>
          <w:tcPr>
            <w:tcW w:w="1443" w:type="dxa"/>
          </w:tcPr>
          <w:p>
            <w:r/>
          </w:p>
        </w:tc>
        <w:tc>
          <w:tcPr>
            <w:tcW w:w="1443" w:type="dxa"/>
          </w:tcPr>
          <w:p>
            <w:r/>
          </w:p>
        </w:tc>
        <w:tc>
          <w:tcPr>
            <w:tcW w:w="1443" w:type="dxa"/>
          </w:tcPr>
          <w:p>
            <w:r>
              <w:t>2.68</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2019-07-15 00:00:00</w:t>
            </w:r>
          </w:p>
        </w:tc>
        <w:tc>
          <w:tcPr>
            <w:tcW w:w="1443" w:type="dxa"/>
          </w:tcPr>
          <w:p>
            <w:r/>
          </w:p>
        </w:tc>
        <w:tc>
          <w:tcPr>
            <w:tcW w:w="1443" w:type="dxa"/>
          </w:tcPr>
          <w:p>
            <w:r/>
          </w:p>
        </w:tc>
        <w:tc>
          <w:tcPr>
            <w:tcW w:w="1443" w:type="dxa"/>
          </w:tcPr>
          <w:p>
            <w:r>
              <w:t>1.87</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2019-07-16 00:00:00</w:t>
            </w:r>
          </w:p>
        </w:tc>
        <w:tc>
          <w:tcPr>
            <w:tcW w:w="1443" w:type="dxa"/>
          </w:tcPr>
          <w:p>
            <w:r/>
          </w:p>
        </w:tc>
        <w:tc>
          <w:tcPr>
            <w:tcW w:w="1443" w:type="dxa"/>
          </w:tcPr>
          <w:p>
            <w:r/>
          </w:p>
        </w:tc>
        <w:tc>
          <w:tcPr>
            <w:tcW w:w="1443" w:type="dxa"/>
          </w:tcPr>
          <w:p>
            <w:r>
              <w:t>2.54</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2019-07-16 00:00:00</w:t>
            </w:r>
          </w:p>
        </w:tc>
        <w:tc>
          <w:tcPr>
            <w:tcW w:w="1443" w:type="dxa"/>
          </w:tcPr>
          <w:p>
            <w:r/>
          </w:p>
        </w:tc>
        <w:tc>
          <w:tcPr>
            <w:tcW w:w="1443" w:type="dxa"/>
          </w:tcPr>
          <w:p>
            <w:r/>
          </w:p>
        </w:tc>
        <w:tc>
          <w:tcPr>
            <w:tcW w:w="1443" w:type="dxa"/>
          </w:tcPr>
          <w:p>
            <w:r>
              <w:t>2.12</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Steers, Ontdekkers Road, Breaunanda, Johannesburg Ward 83, Roodepoort</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2019-07-16 00:00:00</w:t>
            </w:r>
          </w:p>
        </w:tc>
        <w:tc>
          <w:tcPr>
            <w:tcW w:w="1443" w:type="dxa"/>
          </w:tcPr>
          <w:p>
            <w:r/>
          </w:p>
        </w:tc>
        <w:tc>
          <w:tcPr>
            <w:tcW w:w="1443" w:type="dxa"/>
          </w:tcPr>
          <w:p>
            <w:r/>
          </w:p>
        </w:tc>
        <w:tc>
          <w:tcPr>
            <w:tcW w:w="1443" w:type="dxa"/>
          </w:tcPr>
          <w:p>
            <w:r>
              <w:t>2.54</w:t>
            </w:r>
          </w:p>
        </w:tc>
        <w:tc>
          <w:tcPr>
            <w:tcW w:w="2470" w:type="dxa"/>
            <w:shd w:val="clear" w:color="auto" w:fill="EFEFEF"/>
          </w:tcPr>
          <w:p>
            <w:r>
              <w:t>Steers, Ontdekkers Road, Breaunanda, Johannesburg Ward 83, Roodepoort</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2019-07-16 00:00:00</w:t>
            </w:r>
          </w:p>
        </w:tc>
        <w:tc>
          <w:tcPr>
            <w:tcW w:w="1443" w:type="dxa"/>
            <w:shd w:val="clear" w:color="auto" w:fill="EFEFEF"/>
          </w:tcPr>
          <w:p>
            <w:r/>
          </w:p>
        </w:tc>
        <w:tc>
          <w:tcPr>
            <w:tcW w:w="1443" w:type="dxa"/>
            <w:shd w:val="clear" w:color="auto" w:fill="EFEFEF"/>
          </w:tcPr>
          <w:p>
            <w:r/>
          </w:p>
        </w:tc>
        <w:tc>
          <w:tcPr>
            <w:tcW w:w="1443" w:type="dxa"/>
            <w:shd w:val="clear" w:color="auto" w:fill="EFEFEF"/>
          </w:tcPr>
          <w:p>
            <w:r>
              <w:t>1.92</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80" w:left="0" w:right="0"/>
        </w:sectPr>
      </w:pPr>
    </w:p>
    <w:p>
      <w:pPr>
        <w:pStyle w:val="BodyText"/>
        <w:spacing w:before="279"/>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2019-07-16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8.38</w:t>
            </w:r>
          </w:p>
        </w:tc>
        <w:tc>
          <w:tcPr>
            <w:tcW w:w="2470" w:type="dxa"/>
            <w:tcBorders>
              <w:top w:val="single" w:sz="2" w:space="0" w:color="000000"/>
            </w:tcBorders>
            <w:shd w:val="clear" w:color="auto" w:fill="EFEFEF"/>
          </w:tcPr>
          <w:p>
            <w:r>
              <w:t>C.R. Swart Drive, Breaunanda, Johannesburg Ward 83, Roodepoort, City of Johannesburg Metropolitan Municipality</w:t>
            </w:r>
          </w:p>
        </w:tc>
        <w:tc>
          <w:tcPr>
            <w:tcW w:w="2070" w:type="dxa"/>
            <w:tcBorders>
              <w:top w:val="single" w:sz="2" w:space="0" w:color="000000"/>
            </w:tcBorders>
            <w:shd w:val="clear" w:color="auto" w:fill="EFEFEF"/>
          </w:tcPr>
          <w:p>
            <w:r>
              <w:t>Western Bypass, Quellerina, Johannesburg Ward 89, Roodepoort, City of Johannesburg Metropolitan Municipality</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2019-07-16 00:00:00</w:t>
            </w:r>
          </w:p>
        </w:tc>
        <w:tc>
          <w:tcPr>
            <w:tcW w:w="1443" w:type="dxa"/>
          </w:tcPr>
          <w:p>
            <w:r/>
          </w:p>
        </w:tc>
        <w:tc>
          <w:tcPr>
            <w:tcW w:w="1443" w:type="dxa"/>
          </w:tcPr>
          <w:p>
            <w:r/>
          </w:p>
        </w:tc>
        <w:tc>
          <w:tcPr>
            <w:tcW w:w="1443" w:type="dxa"/>
          </w:tcPr>
          <w:p>
            <w:r>
              <w:t>11.1</w:t>
            </w:r>
          </w:p>
        </w:tc>
        <w:tc>
          <w:tcPr>
            <w:tcW w:w="2470" w:type="dxa"/>
            <w:shd w:val="clear" w:color="auto" w:fill="EFEFEF"/>
          </w:tcPr>
          <w:p>
            <w:r>
              <w:t>Western Bypass, Quellerina, Johannesburg Ward 89,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4.86</w:t>
            </w:r>
          </w:p>
        </w:tc>
        <w:tc>
          <w:tcPr>
            <w:tcW w:w="2470" w:type="dxa"/>
            <w:shd w:val="clear" w:color="auto" w:fill="EFEFEF"/>
          </w:tcPr>
          <w:p>
            <w:r>
              <w:t>Ben Schoeman Highway, Johannesburg Ward 112, Midrand, City of Johannesburg Metropolitan Municipality, Gauteng</w:t>
            </w:r>
          </w:p>
        </w:tc>
        <w:tc>
          <w:tcPr>
            <w:tcW w:w="2070" w:type="dxa"/>
            <w:shd w:val="clear" w:color="auto" w:fill="EFEFEF"/>
          </w:tcPr>
          <w:p>
            <w:r>
              <w:t>Standard Bank, Anfield Road, Crowthorne, Johannesburg Ward 112, Sandton</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23.19</w:t>
            </w:r>
          </w:p>
        </w:tc>
        <w:tc>
          <w:tcPr>
            <w:tcW w:w="2470" w:type="dxa"/>
            <w:shd w:val="clear" w:color="auto" w:fill="EFEFEF"/>
          </w:tcPr>
          <w:p>
            <w:r>
              <w:t>nan</w:t>
            </w:r>
          </w:p>
        </w:tc>
        <w:tc>
          <w:tcPr>
            <w:tcW w:w="2070" w:type="dxa"/>
            <w:shd w:val="clear" w:color="auto" w:fill="EFEFEF"/>
          </w:tcPr>
          <w:p>
            <w:r>
              <w:t>Ben Schoeman Highway, Johannesburg Ward 112, Midrand, City of Johannesburg Metropolitan Municipality, Gauteng</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3.04</w:t>
            </w:r>
          </w:p>
        </w:tc>
        <w:tc>
          <w:tcPr>
            <w:tcW w:w="2470" w:type="dxa"/>
            <w:shd w:val="clear" w:color="auto" w:fill="EFEFEF"/>
          </w:tcPr>
          <w:p>
            <w:r>
              <w:t>BP, Herman Road, Meadowbrook, Ekurhuleni Ward 92, City of Ekurhuleni Metropolitan Municipality</w:t>
            </w:r>
          </w:p>
        </w:tc>
        <w:tc>
          <w:tcPr>
            <w:tcW w:w="2070" w:type="dxa"/>
            <w:shd w:val="clear" w:color="auto" w:fill="EFEFEF"/>
          </w:tcPr>
          <w:p>
            <w:r>
              <w:t>Essex Street, Activia Park, Ekurhuleni Ward 92, City of Ekurhuleni Metropolitan Municipality, Gauteng</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33.94</w:t>
            </w:r>
          </w:p>
        </w:tc>
        <w:tc>
          <w:tcPr>
            <w:tcW w:w="2470" w:type="dxa"/>
            <w:shd w:val="clear" w:color="auto" w:fill="EFEFEF"/>
          </w:tcPr>
          <w:p>
            <w:r>
              <w:t>Standard Bank, Anfield Road, Crowthorne, Johannesburg Ward 112, Sandton</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9.12</w:t>
            </w:r>
          </w:p>
        </w:tc>
        <w:tc>
          <w:tcPr>
            <w:tcW w:w="2470" w:type="dxa"/>
            <w:shd w:val="clear" w:color="auto" w:fill="EFEFEF"/>
          </w:tcPr>
          <w:p>
            <w:r>
              <w:t>Western Bypass, Quellerina, Johannesburg Ward 89, Roodepoort, City of Johannesburg Metropolitan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9.21</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Western Bypass, Quellerina, Johannesburg Ward 89,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1.66</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2019-07-17 00:00:00</w:t>
            </w:r>
          </w:p>
        </w:tc>
        <w:tc>
          <w:tcPr>
            <w:tcW w:w="1443" w:type="dxa"/>
          </w:tcPr>
          <w:p>
            <w:r/>
          </w:p>
        </w:tc>
        <w:tc>
          <w:tcPr>
            <w:tcW w:w="1443" w:type="dxa"/>
          </w:tcPr>
          <w:p>
            <w:r/>
          </w:p>
        </w:tc>
        <w:tc>
          <w:tcPr>
            <w:tcW w:w="1443" w:type="dxa"/>
          </w:tcPr>
          <w:p>
            <w:r>
              <w:t>64.73</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Hyperama Link Road, Meadowbrook, Ekurhuleni Ward 92, City of Ekurhuleni Metropolitan Municipality, Gauteng</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2019-07-18 00:00:00</w:t>
            </w:r>
          </w:p>
        </w:tc>
        <w:tc>
          <w:tcPr>
            <w:tcW w:w="1443" w:type="dxa"/>
          </w:tcPr>
          <w:p>
            <w:r/>
          </w:p>
        </w:tc>
        <w:tc>
          <w:tcPr>
            <w:tcW w:w="1443" w:type="dxa"/>
          </w:tcPr>
          <w:p>
            <w:r/>
          </w:p>
        </w:tc>
        <w:tc>
          <w:tcPr>
            <w:tcW w:w="1443" w:type="dxa"/>
          </w:tcPr>
          <w:p>
            <w:r>
              <w:t>1.11</w:t>
            </w:r>
          </w:p>
        </w:tc>
        <w:tc>
          <w:tcPr>
            <w:tcW w:w="2470" w:type="dxa"/>
            <w:shd w:val="clear" w:color="auto" w:fill="EFEFEF"/>
          </w:tcPr>
          <w:p>
            <w:r>
              <w:t>Caledon Street,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2019-07-18 00:00:00</w:t>
            </w:r>
          </w:p>
        </w:tc>
        <w:tc>
          <w:tcPr>
            <w:tcW w:w="1443" w:type="dxa"/>
          </w:tcPr>
          <w:p>
            <w:r/>
          </w:p>
        </w:tc>
        <w:tc>
          <w:tcPr>
            <w:tcW w:w="1443" w:type="dxa"/>
          </w:tcPr>
          <w:p>
            <w:r/>
          </w:p>
        </w:tc>
        <w:tc>
          <w:tcPr>
            <w:tcW w:w="1443" w:type="dxa"/>
          </w:tcPr>
          <w:p>
            <w:r>
              <w:t>1.04</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Uvongo Street,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2019-07-18 00:00:00</w:t>
            </w:r>
          </w:p>
        </w:tc>
        <w:tc>
          <w:tcPr>
            <w:tcW w:w="1443" w:type="dxa"/>
          </w:tcPr>
          <w:p>
            <w:r/>
          </w:p>
        </w:tc>
        <w:tc>
          <w:tcPr>
            <w:tcW w:w="1443" w:type="dxa"/>
          </w:tcPr>
          <w:p>
            <w:r/>
          </w:p>
        </w:tc>
        <w:tc>
          <w:tcPr>
            <w:tcW w:w="1443" w:type="dxa"/>
          </w:tcPr>
          <w:p>
            <w:r>
              <w:t>0.88</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C.R. Swart Drive, Wilropark,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2019-07-18 00:00:00</w:t>
            </w:r>
          </w:p>
        </w:tc>
        <w:tc>
          <w:tcPr>
            <w:tcW w:w="1443" w:type="dxa"/>
            <w:shd w:val="clear" w:color="auto" w:fill="EFEFEF"/>
          </w:tcPr>
          <w:p>
            <w:r/>
          </w:p>
        </w:tc>
        <w:tc>
          <w:tcPr>
            <w:tcW w:w="1443" w:type="dxa"/>
            <w:shd w:val="clear" w:color="auto" w:fill="EFEFEF"/>
          </w:tcPr>
          <w:p>
            <w:r/>
          </w:p>
        </w:tc>
        <w:tc>
          <w:tcPr>
            <w:tcW w:w="1443" w:type="dxa"/>
            <w:shd w:val="clear" w:color="auto" w:fill="EFEFEF"/>
          </w:tcPr>
          <w:p>
            <w:r>
              <w:t>0.89</w:t>
            </w:r>
          </w:p>
        </w:tc>
        <w:tc>
          <w:tcPr>
            <w:tcW w:w="2470" w:type="dxa"/>
            <w:shd w:val="clear" w:color="auto" w:fill="EFEFEF"/>
          </w:tcPr>
          <w:p>
            <w:r>
              <w:t>C.R. Swart Drive, Wilropark, Johannesburg Ward 83, Roodepoort, City of Johannesburg Metropolitan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82"/>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2019-07-18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25.04</w:t>
            </w:r>
          </w:p>
        </w:tc>
        <w:tc>
          <w:tcPr>
            <w:tcW w:w="2470" w:type="dxa"/>
            <w:tcBorders>
              <w:top w:val="single" w:sz="2" w:space="0" w:color="000000"/>
            </w:tcBorders>
            <w:shd w:val="clear" w:color="auto" w:fill="EFEFEF"/>
          </w:tcPr>
          <w:p>
            <w:r>
              <w:t>Speldekussing Avenue, Roodekrans, Johannesburg Ward 83, Roodepoort, City of Johannesburg Metropolitan Municipality</w:t>
            </w:r>
          </w:p>
        </w:tc>
        <w:tc>
          <w:tcPr>
            <w:tcW w:w="2070" w:type="dxa"/>
            <w:tcBorders>
              <w:top w:val="single" w:sz="2" w:space="0" w:color="000000"/>
            </w:tcBorders>
            <w:shd w:val="clear" w:color="auto" w:fill="EFEFEF"/>
          </w:tcPr>
          <w:p>
            <w:r>
              <w:t>Pixley Seme Street, Kopanang Mining Precinct, Marshalltown, Johannesburg Ward 124, Johannesburg</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2019-07-18 00:00:00</w:t>
            </w:r>
          </w:p>
        </w:tc>
        <w:tc>
          <w:tcPr>
            <w:tcW w:w="1443" w:type="dxa"/>
          </w:tcPr>
          <w:p>
            <w:r/>
          </w:p>
        </w:tc>
        <w:tc>
          <w:tcPr>
            <w:tcW w:w="1443" w:type="dxa"/>
          </w:tcPr>
          <w:p>
            <w:r/>
          </w:p>
        </w:tc>
        <w:tc>
          <w:tcPr>
            <w:tcW w:w="1443" w:type="dxa"/>
          </w:tcPr>
          <w:p>
            <w:r>
              <w:t>2.08</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2019-07-18 00:00:00</w:t>
            </w:r>
          </w:p>
        </w:tc>
        <w:tc>
          <w:tcPr>
            <w:tcW w:w="1443" w:type="dxa"/>
          </w:tcPr>
          <w:p>
            <w:r/>
          </w:p>
        </w:tc>
        <w:tc>
          <w:tcPr>
            <w:tcW w:w="1443" w:type="dxa"/>
          </w:tcPr>
          <w:p>
            <w:r/>
          </w:p>
        </w:tc>
        <w:tc>
          <w:tcPr>
            <w:tcW w:w="1443" w:type="dxa"/>
          </w:tcPr>
          <w:p>
            <w:r>
              <w:t>23.03</w:t>
            </w:r>
          </w:p>
        </w:tc>
        <w:tc>
          <w:tcPr>
            <w:tcW w:w="2470" w:type="dxa"/>
            <w:shd w:val="clear" w:color="auto" w:fill="EFEFEF"/>
          </w:tcPr>
          <w:p>
            <w:r>
              <w:t>Pixley Seme Street, Marshalltown, Johannesburg Ward 124, Johannesburg, City of Johannesburg Metropolitan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0.68</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2.48</w:t>
            </w:r>
          </w:p>
        </w:tc>
        <w:tc>
          <w:tcPr>
            <w:tcW w:w="2470" w:type="dxa"/>
            <w:shd w:val="clear" w:color="auto" w:fill="EFEFEF"/>
          </w:tcPr>
          <w:p>
            <w:r>
              <w:t>Albertina Sisulu Road, Lewisham, Mogale City Ward 16, Krugersdorp, Mogale City Local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0.89</w:t>
            </w:r>
          </w:p>
        </w:tc>
        <w:tc>
          <w:tcPr>
            <w:tcW w:w="2470" w:type="dxa"/>
            <w:shd w:val="clear" w:color="auto" w:fill="EFEFEF"/>
          </w:tcPr>
          <w:p>
            <w:r>
              <w:t>Quickshop, Deal Road, Silverfields Park, Mogale City Ward 18, Krugersdorp</w:t>
            </w:r>
          </w:p>
        </w:tc>
        <w:tc>
          <w:tcPr>
            <w:tcW w:w="2070" w:type="dxa"/>
            <w:shd w:val="clear" w:color="auto" w:fill="EFEFEF"/>
          </w:tcPr>
          <w:p>
            <w:r>
              <w:t>Albertina Sisulu Road, Lewisham, Mogale City Ward 16,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3.19</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Deal Road, Silverfields Park,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3.71</w:t>
            </w:r>
          </w:p>
        </w:tc>
        <w:tc>
          <w:tcPr>
            <w:tcW w:w="2470" w:type="dxa"/>
            <w:shd w:val="clear" w:color="auto" w:fill="EFEFEF"/>
          </w:tcPr>
          <w:p>
            <w:r>
              <w:t>Albertina Sisulu Road, Lewisham, Mogale City Ward 16, Krugersdorp, Mogale City Local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21.11</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Albertina Sisulu Road, Lewisham, Mogale City Ward 16,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4.59</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21.48</w:t>
            </w:r>
          </w:p>
        </w:tc>
        <w:tc>
          <w:tcPr>
            <w:tcW w:w="2470" w:type="dxa"/>
            <w:shd w:val="clear" w:color="auto" w:fill="EFEFEF"/>
          </w:tcPr>
          <w:p>
            <w:r>
              <w:t>New Century Avenue, Strubensvallei, Johannesburg Ward 97, Roodepoort, City of Johannesburg Metropolitan Municipality</w:t>
            </w:r>
          </w:p>
        </w:tc>
        <w:tc>
          <w:tcPr>
            <w:tcW w:w="2070" w:type="dxa"/>
            <w:shd w:val="clear" w:color="auto" w:fill="EFEFEF"/>
          </w:tcPr>
          <w:p>
            <w:r>
              <w:t>Ridgevale Primary, Bottlebrush Street, Roodekrans, Johannesburg Ward 83, Roodepoort</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9.15</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New Century Avenue, Strubensvallei, Johannesburg Ward 97,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1.32</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2019-07-19 00:00:00</w:t>
            </w:r>
          </w:p>
        </w:tc>
        <w:tc>
          <w:tcPr>
            <w:tcW w:w="1443" w:type="dxa"/>
            <w:shd w:val="clear" w:color="auto" w:fill="EFEFEF"/>
          </w:tcPr>
          <w:p>
            <w:r/>
          </w:p>
        </w:tc>
        <w:tc>
          <w:tcPr>
            <w:tcW w:w="1443" w:type="dxa"/>
            <w:shd w:val="clear" w:color="auto" w:fill="EFEFEF"/>
          </w:tcPr>
          <w:p>
            <w:r/>
          </w:p>
        </w:tc>
        <w:tc>
          <w:tcPr>
            <w:tcW w:w="1443" w:type="dxa"/>
            <w:shd w:val="clear" w:color="auto" w:fill="EFEFEF"/>
          </w:tcPr>
          <w:p>
            <w:r>
              <w:t>2.19</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nan</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80"/>
        <w:rPr>
          <w:rFonts w:ascii="Trebuchet MS"/>
          <w:b/>
          <w:sz w:val="28"/>
        </w:rPr>
      </w:pPr>
    </w:p>
    <w:p>
      <w:pPr>
        <w:pStyle w:val="Heading1"/>
        <w:spacing w:after="51"/>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2019-07-19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2.35</w:t>
            </w:r>
          </w:p>
        </w:tc>
        <w:tc>
          <w:tcPr>
            <w:tcW w:w="2470" w:type="dxa"/>
            <w:tcBorders>
              <w:top w:val="single" w:sz="2" w:space="0" w:color="000000"/>
            </w:tcBorders>
            <w:shd w:val="clear" w:color="auto" w:fill="EFEFEF"/>
          </w:tcPr>
          <w:p>
            <w:r>
              <w:t>Stokroos Avenue, Mindalore North, Mogale City Ward 18, Krugersdorp, Mogale City Local Municipality</w:t>
            </w:r>
          </w:p>
        </w:tc>
        <w:tc>
          <w:tcPr>
            <w:tcW w:w="2070" w:type="dxa"/>
            <w:tcBorders>
              <w:top w:val="single" w:sz="2" w:space="0" w:color="000000"/>
            </w:tcBorders>
            <w:shd w:val="clear" w:color="auto" w:fill="EFEFEF"/>
          </w:tcPr>
          <w:p>
            <w:r>
              <w:t>Speldekussing Avenue, Roodekrans, Johannesburg Ward 83, Roodepoort, City of Johannesburg Metropolitan Municipality</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1.59</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1.91</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2019-07-19 00:00:00</w:t>
            </w:r>
          </w:p>
        </w:tc>
        <w:tc>
          <w:tcPr>
            <w:tcW w:w="1443" w:type="dxa"/>
          </w:tcPr>
          <w:p>
            <w:r/>
          </w:p>
        </w:tc>
        <w:tc>
          <w:tcPr>
            <w:tcW w:w="1443" w:type="dxa"/>
          </w:tcPr>
          <w:p>
            <w:r/>
          </w:p>
        </w:tc>
        <w:tc>
          <w:tcPr>
            <w:tcW w:w="1443" w:type="dxa"/>
          </w:tcPr>
          <w:p>
            <w:r>
              <w:t>1.65</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2019-07-20 00:00:00</w:t>
            </w:r>
          </w:p>
        </w:tc>
        <w:tc>
          <w:tcPr>
            <w:tcW w:w="1443" w:type="dxa"/>
          </w:tcPr>
          <w:p>
            <w:r/>
          </w:p>
        </w:tc>
        <w:tc>
          <w:tcPr>
            <w:tcW w:w="1443" w:type="dxa"/>
          </w:tcPr>
          <w:p>
            <w:r/>
          </w:p>
        </w:tc>
        <w:tc>
          <w:tcPr>
            <w:tcW w:w="1443" w:type="dxa"/>
          </w:tcPr>
          <w:p>
            <w:r>
              <w:t>1.72</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Engen, 31, C.R. Swart Drive, Wilropark, Johannesburg Ward 83</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2019-07-20 00:00:00</w:t>
            </w:r>
          </w:p>
        </w:tc>
        <w:tc>
          <w:tcPr>
            <w:tcW w:w="1443" w:type="dxa"/>
          </w:tcPr>
          <w:p>
            <w:r/>
          </w:p>
        </w:tc>
        <w:tc>
          <w:tcPr>
            <w:tcW w:w="1443" w:type="dxa"/>
          </w:tcPr>
          <w:p>
            <w:r/>
          </w:p>
        </w:tc>
        <w:tc>
          <w:tcPr>
            <w:tcW w:w="1443" w:type="dxa"/>
          </w:tcPr>
          <w:p>
            <w:r>
              <w:t>2.75</w:t>
            </w:r>
          </w:p>
        </w:tc>
        <w:tc>
          <w:tcPr>
            <w:tcW w:w="2470" w:type="dxa"/>
            <w:shd w:val="clear" w:color="auto" w:fill="EFEFEF"/>
          </w:tcPr>
          <w:p>
            <w:r>
              <w:t>nan</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2019-07-20 00:00:00</w:t>
            </w:r>
          </w:p>
        </w:tc>
        <w:tc>
          <w:tcPr>
            <w:tcW w:w="1443" w:type="dxa"/>
          </w:tcPr>
          <w:p>
            <w:r/>
          </w:p>
        </w:tc>
        <w:tc>
          <w:tcPr>
            <w:tcW w:w="1443" w:type="dxa"/>
          </w:tcPr>
          <w:p>
            <w:r/>
          </w:p>
        </w:tc>
        <w:tc>
          <w:tcPr>
            <w:tcW w:w="1443" w:type="dxa"/>
          </w:tcPr>
          <w:p>
            <w:r>
              <w:t>11.24</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2019-07-20 00:00:00</w:t>
            </w:r>
          </w:p>
        </w:tc>
        <w:tc>
          <w:tcPr>
            <w:tcW w:w="1443" w:type="dxa"/>
          </w:tcPr>
          <w:p>
            <w:r/>
          </w:p>
        </w:tc>
        <w:tc>
          <w:tcPr>
            <w:tcW w:w="1443" w:type="dxa"/>
          </w:tcPr>
          <w:p>
            <w:r/>
          </w:p>
        </w:tc>
        <w:tc>
          <w:tcPr>
            <w:tcW w:w="1443" w:type="dxa"/>
          </w:tcPr>
          <w:p>
            <w:r>
              <w:t>3.96</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2019-07-20 00:00:00</w:t>
            </w:r>
          </w:p>
        </w:tc>
        <w:tc>
          <w:tcPr>
            <w:tcW w:w="1443" w:type="dxa"/>
          </w:tcPr>
          <w:p>
            <w:r/>
          </w:p>
        </w:tc>
        <w:tc>
          <w:tcPr>
            <w:tcW w:w="1443" w:type="dxa"/>
          </w:tcPr>
          <w:p>
            <w:r/>
          </w:p>
        </w:tc>
        <w:tc>
          <w:tcPr>
            <w:tcW w:w="1443" w:type="dxa"/>
          </w:tcPr>
          <w:p>
            <w:r>
              <w:t>0.69</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2019-07-22 00:00:00</w:t>
            </w:r>
          </w:p>
        </w:tc>
        <w:tc>
          <w:tcPr>
            <w:tcW w:w="1443" w:type="dxa"/>
          </w:tcPr>
          <w:p>
            <w:r/>
          </w:p>
        </w:tc>
        <w:tc>
          <w:tcPr>
            <w:tcW w:w="1443" w:type="dxa"/>
          </w:tcPr>
          <w:p>
            <w:r/>
          </w:p>
        </w:tc>
        <w:tc>
          <w:tcPr>
            <w:tcW w:w="1443" w:type="dxa"/>
          </w:tcPr>
          <w:p>
            <w:r>
              <w:t>2.91</w:t>
            </w:r>
          </w:p>
        </w:tc>
        <w:tc>
          <w:tcPr>
            <w:tcW w:w="2470" w:type="dxa"/>
            <w:shd w:val="clear" w:color="auto" w:fill="EFEFEF"/>
          </w:tcPr>
          <w:p>
            <w:r>
              <w:t>Carol Road, Silverfields, Mogale City Ward 18, Krugersdorp, Mogale City Local Municipality</w:t>
            </w:r>
          </w:p>
        </w:tc>
        <w:tc>
          <w:tcPr>
            <w:tcW w:w="2070" w:type="dxa"/>
            <w:shd w:val="clear" w:color="auto" w:fill="EFEFEF"/>
          </w:tcPr>
          <w:p>
            <w:r>
              <w:t>C.R. Swart Drive, Wilropark,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84" w:hRule="atLeast"/>
        </w:trPr>
        <w:tc>
          <w:tcPr>
            <w:tcW w:w="1443" w:type="dxa"/>
          </w:tcPr>
          <w:p>
            <w:r>
              <w:t>2019-07-22 00:00:00</w:t>
            </w:r>
          </w:p>
        </w:tc>
        <w:tc>
          <w:tcPr>
            <w:tcW w:w="1443" w:type="dxa"/>
          </w:tcPr>
          <w:p>
            <w:r/>
          </w:p>
        </w:tc>
        <w:tc>
          <w:tcPr>
            <w:tcW w:w="1443" w:type="dxa"/>
          </w:tcPr>
          <w:p>
            <w:r/>
          </w:p>
        </w:tc>
        <w:tc>
          <w:tcPr>
            <w:tcW w:w="1443" w:type="dxa"/>
          </w:tcPr>
          <w:p>
            <w:r>
              <w:t>1.74</w:t>
            </w:r>
          </w:p>
        </w:tc>
        <w:tc>
          <w:tcPr>
            <w:tcW w:w="2470" w:type="dxa"/>
            <w:shd w:val="clear" w:color="auto" w:fill="EFEFEF"/>
          </w:tcPr>
          <w:p>
            <w:r>
              <w:t>Caledon Street,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2019-07-22 00:00:00</w:t>
            </w:r>
          </w:p>
        </w:tc>
        <w:tc>
          <w:tcPr>
            <w:tcW w:w="1443" w:type="dxa"/>
          </w:tcPr>
          <w:p>
            <w:r/>
          </w:p>
        </w:tc>
        <w:tc>
          <w:tcPr>
            <w:tcW w:w="1443" w:type="dxa"/>
          </w:tcPr>
          <w:p>
            <w:r/>
          </w:p>
        </w:tc>
        <w:tc>
          <w:tcPr>
            <w:tcW w:w="1443" w:type="dxa"/>
          </w:tcPr>
          <w:p>
            <w:r>
              <w:t>0.74</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2019-07-22 00:00:00</w:t>
            </w:r>
          </w:p>
        </w:tc>
        <w:tc>
          <w:tcPr>
            <w:tcW w:w="1443" w:type="dxa"/>
          </w:tcPr>
          <w:p>
            <w:r/>
          </w:p>
        </w:tc>
        <w:tc>
          <w:tcPr>
            <w:tcW w:w="1443" w:type="dxa"/>
          </w:tcPr>
          <w:p>
            <w:r/>
          </w:p>
        </w:tc>
        <w:tc>
          <w:tcPr>
            <w:tcW w:w="1443" w:type="dxa"/>
          </w:tcPr>
          <w:p>
            <w:r>
              <w:t>3.67</w:t>
            </w:r>
          </w:p>
        </w:tc>
        <w:tc>
          <w:tcPr>
            <w:tcW w:w="2470" w:type="dxa"/>
            <w:shd w:val="clear" w:color="auto" w:fill="EFEFEF"/>
          </w:tcPr>
          <w:p>
            <w:r>
              <w:t>C.R. Swart Drive, Breaunanda, Johannesburg Ward 83, Roodepoort, City of Johannesburg Metropolitan Municipality</w:t>
            </w:r>
          </w:p>
        </w:tc>
        <w:tc>
          <w:tcPr>
            <w:tcW w:w="2070" w:type="dxa"/>
            <w:shd w:val="clear" w:color="auto" w:fill="EFEFEF"/>
          </w:tcPr>
          <w:p>
            <w:r>
              <w:t>Carol Road, Silverfields,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2019-07-22 00:00:00</w:t>
            </w:r>
          </w:p>
        </w:tc>
        <w:tc>
          <w:tcPr>
            <w:tcW w:w="1443" w:type="dxa"/>
            <w:shd w:val="clear" w:color="auto" w:fill="EFEFEF"/>
          </w:tcPr>
          <w:p>
            <w:r/>
          </w:p>
        </w:tc>
        <w:tc>
          <w:tcPr>
            <w:tcW w:w="1443" w:type="dxa"/>
            <w:shd w:val="clear" w:color="auto" w:fill="EFEFEF"/>
          </w:tcPr>
          <w:p>
            <w:r/>
          </w:p>
        </w:tc>
        <w:tc>
          <w:tcPr>
            <w:tcW w:w="1443" w:type="dxa"/>
            <w:shd w:val="clear" w:color="auto" w:fill="EFEFEF"/>
          </w:tcPr>
          <w:p>
            <w:r>
              <w:t>2.13</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Steers, Ontdekkers Road, Breaunanda, Johannesburg Ward 83, Roodepoort</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20" w:left="0" w:right="0"/>
        </w:sectPr>
      </w:pPr>
    </w:p>
    <w:p>
      <w:pPr>
        <w:pStyle w:val="BodyText"/>
        <w:spacing w:before="257"/>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2019-07-22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1.0</w:t>
            </w:r>
          </w:p>
        </w:tc>
        <w:tc>
          <w:tcPr>
            <w:tcW w:w="2470" w:type="dxa"/>
            <w:tcBorders>
              <w:top w:val="single" w:sz="2" w:space="0" w:color="000000"/>
            </w:tcBorders>
            <w:shd w:val="clear" w:color="auto" w:fill="EFEFEF"/>
          </w:tcPr>
          <w:p>
            <w:r>
              <w:t>Speldekussing Avenue, Roodekrans, Johannesburg Ward 83, Roodepoort, City of Johannesburg Metropolitan Municipality</w:t>
            </w:r>
          </w:p>
        </w:tc>
        <w:tc>
          <w:tcPr>
            <w:tcW w:w="2070" w:type="dxa"/>
            <w:tcBorders>
              <w:top w:val="single" w:sz="2" w:space="0" w:color="000000"/>
            </w:tcBorders>
            <w:shd w:val="clear" w:color="auto" w:fill="EFEFEF"/>
          </w:tcPr>
          <w:p>
            <w:r>
              <w:t>C.R. Swart Drive, Wilropark, Johannesburg Ward 83, Roodepoort, City of Johannesburg Metropolitan Municipality</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2019-07-22 00:00:00</w:t>
            </w:r>
          </w:p>
        </w:tc>
        <w:tc>
          <w:tcPr>
            <w:tcW w:w="1443" w:type="dxa"/>
          </w:tcPr>
          <w:p>
            <w:r/>
          </w:p>
        </w:tc>
        <w:tc>
          <w:tcPr>
            <w:tcW w:w="1443" w:type="dxa"/>
          </w:tcPr>
          <w:p>
            <w:r/>
          </w:p>
        </w:tc>
        <w:tc>
          <w:tcPr>
            <w:tcW w:w="1443" w:type="dxa"/>
          </w:tcPr>
          <w:p>
            <w:r>
              <w:t>2.15</w:t>
            </w:r>
          </w:p>
        </w:tc>
        <w:tc>
          <w:tcPr>
            <w:tcW w:w="2470" w:type="dxa"/>
            <w:shd w:val="clear" w:color="auto" w:fill="EFEFEF"/>
          </w:tcPr>
          <w:p>
            <w:r>
              <w:t>Pick n Pay Hyper, 54, Ontdekkers Road, Breaunanda, Johannesburg Ward 83</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2019-07-22 00:00:00</w:t>
            </w:r>
          </w:p>
        </w:tc>
        <w:tc>
          <w:tcPr>
            <w:tcW w:w="1443" w:type="dxa"/>
          </w:tcPr>
          <w:p>
            <w:r/>
          </w:p>
        </w:tc>
        <w:tc>
          <w:tcPr>
            <w:tcW w:w="1443" w:type="dxa"/>
          </w:tcPr>
          <w:p>
            <w:r/>
          </w:p>
        </w:tc>
        <w:tc>
          <w:tcPr>
            <w:tcW w:w="1443" w:type="dxa"/>
          </w:tcPr>
          <w:p>
            <w:r>
              <w:t>2.14</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2019-07-22 00:00:00</w:t>
            </w:r>
          </w:p>
        </w:tc>
        <w:tc>
          <w:tcPr>
            <w:tcW w:w="1443" w:type="dxa"/>
          </w:tcPr>
          <w:p>
            <w:r/>
          </w:p>
        </w:tc>
        <w:tc>
          <w:tcPr>
            <w:tcW w:w="1443" w:type="dxa"/>
          </w:tcPr>
          <w:p>
            <w:r/>
          </w:p>
        </w:tc>
        <w:tc>
          <w:tcPr>
            <w:tcW w:w="1443" w:type="dxa"/>
          </w:tcPr>
          <w:p>
            <w:r>
              <w:t>0.78</w:t>
            </w:r>
          </w:p>
        </w:tc>
        <w:tc>
          <w:tcPr>
            <w:tcW w:w="2470" w:type="dxa"/>
            <w:shd w:val="clear" w:color="auto" w:fill="EFEFEF"/>
          </w:tcPr>
          <w:p>
            <w:r>
              <w:t>C.R. Swart Drive, Wilropark, Johannesburg Ward 83, Roodepoort, City of Johannesburg Metropolitan Municipality</w:t>
            </w:r>
          </w:p>
        </w:tc>
        <w:tc>
          <w:tcPr>
            <w:tcW w:w="2070" w:type="dxa"/>
            <w:shd w:val="clear" w:color="auto" w:fill="EFEFEF"/>
          </w:tcPr>
          <w:p>
            <w:r>
              <w:t>C.R. Swart Drive,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2019-07-23 00:00:00</w:t>
            </w:r>
          </w:p>
        </w:tc>
        <w:tc>
          <w:tcPr>
            <w:tcW w:w="1443" w:type="dxa"/>
          </w:tcPr>
          <w:p>
            <w:r/>
          </w:p>
        </w:tc>
        <w:tc>
          <w:tcPr>
            <w:tcW w:w="1443" w:type="dxa"/>
          </w:tcPr>
          <w:p>
            <w:r/>
          </w:p>
        </w:tc>
        <w:tc>
          <w:tcPr>
            <w:tcW w:w="1443" w:type="dxa"/>
          </w:tcPr>
          <w:p>
            <w:r>
              <w:t>3.21</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2019-07-23 00:00:00</w:t>
            </w:r>
          </w:p>
        </w:tc>
        <w:tc>
          <w:tcPr>
            <w:tcW w:w="1443" w:type="dxa"/>
          </w:tcPr>
          <w:p>
            <w:r/>
          </w:p>
        </w:tc>
        <w:tc>
          <w:tcPr>
            <w:tcW w:w="1443" w:type="dxa"/>
          </w:tcPr>
          <w:p>
            <w:r/>
          </w:p>
        </w:tc>
        <w:tc>
          <w:tcPr>
            <w:tcW w:w="1443" w:type="dxa"/>
          </w:tcPr>
          <w:p>
            <w:r>
              <w:t>8.08</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Mossie Street, Krugersdorp-Noord, Mogale City Ward 17,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2019-07-23 00:00:00</w:t>
            </w:r>
          </w:p>
        </w:tc>
        <w:tc>
          <w:tcPr>
            <w:tcW w:w="1443" w:type="dxa"/>
          </w:tcPr>
          <w:p>
            <w:r/>
          </w:p>
        </w:tc>
        <w:tc>
          <w:tcPr>
            <w:tcW w:w="1443" w:type="dxa"/>
          </w:tcPr>
          <w:p>
            <w:r/>
          </w:p>
        </w:tc>
        <w:tc>
          <w:tcPr>
            <w:tcW w:w="1443" w:type="dxa"/>
          </w:tcPr>
          <w:p>
            <w:r>
              <w:t>7.95</w:t>
            </w:r>
          </w:p>
        </w:tc>
        <w:tc>
          <w:tcPr>
            <w:tcW w:w="2470" w:type="dxa"/>
            <w:shd w:val="clear" w:color="auto" w:fill="EFEFEF"/>
          </w:tcPr>
          <w:p>
            <w:r>
              <w:t>Mossie Street, Krugersdorp-Noord, Mogale City Ward 17,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2019-07-23 00:00:00</w:t>
            </w:r>
          </w:p>
        </w:tc>
        <w:tc>
          <w:tcPr>
            <w:tcW w:w="1443" w:type="dxa"/>
          </w:tcPr>
          <w:p>
            <w:r/>
          </w:p>
        </w:tc>
        <w:tc>
          <w:tcPr>
            <w:tcW w:w="1443" w:type="dxa"/>
          </w:tcPr>
          <w:p>
            <w:r/>
          </w:p>
        </w:tc>
        <w:tc>
          <w:tcPr>
            <w:tcW w:w="1443" w:type="dxa"/>
          </w:tcPr>
          <w:p>
            <w:r>
              <w:t>3.02</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2019-07-23 00:00:00</w:t>
            </w:r>
          </w:p>
        </w:tc>
        <w:tc>
          <w:tcPr>
            <w:tcW w:w="1443" w:type="dxa"/>
          </w:tcPr>
          <w:p>
            <w:r/>
          </w:p>
        </w:tc>
        <w:tc>
          <w:tcPr>
            <w:tcW w:w="1443" w:type="dxa"/>
          </w:tcPr>
          <w:p>
            <w:r/>
          </w:p>
        </w:tc>
        <w:tc>
          <w:tcPr>
            <w:tcW w:w="1443" w:type="dxa"/>
          </w:tcPr>
          <w:p>
            <w:r>
              <w:t>3.83</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2019-07-23 00:00:00</w:t>
            </w:r>
          </w:p>
        </w:tc>
        <w:tc>
          <w:tcPr>
            <w:tcW w:w="1443" w:type="dxa"/>
          </w:tcPr>
          <w:p>
            <w:r/>
          </w:p>
        </w:tc>
        <w:tc>
          <w:tcPr>
            <w:tcW w:w="1443" w:type="dxa"/>
          </w:tcPr>
          <w:p>
            <w:r/>
          </w:p>
        </w:tc>
        <w:tc>
          <w:tcPr>
            <w:tcW w:w="1443" w:type="dxa"/>
          </w:tcPr>
          <w:p>
            <w:r>
              <w:t>0.76</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2019-07-24 00:00:00</w:t>
            </w:r>
          </w:p>
        </w:tc>
        <w:tc>
          <w:tcPr>
            <w:tcW w:w="1443" w:type="dxa"/>
          </w:tcPr>
          <w:p>
            <w:r/>
          </w:p>
        </w:tc>
        <w:tc>
          <w:tcPr>
            <w:tcW w:w="1443" w:type="dxa"/>
          </w:tcPr>
          <w:p>
            <w:r/>
          </w:p>
        </w:tc>
        <w:tc>
          <w:tcPr>
            <w:tcW w:w="1443" w:type="dxa"/>
          </w:tcPr>
          <w:p>
            <w:r>
              <w:t>0.75</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2019-07-24 00:00:00</w:t>
            </w:r>
          </w:p>
        </w:tc>
        <w:tc>
          <w:tcPr>
            <w:tcW w:w="1443" w:type="dxa"/>
          </w:tcPr>
          <w:p>
            <w:r/>
          </w:p>
        </w:tc>
        <w:tc>
          <w:tcPr>
            <w:tcW w:w="1443" w:type="dxa"/>
          </w:tcPr>
          <w:p>
            <w:r/>
          </w:p>
        </w:tc>
        <w:tc>
          <w:tcPr>
            <w:tcW w:w="1443" w:type="dxa"/>
          </w:tcPr>
          <w:p>
            <w:r>
              <w:t>2.61</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2019-07-24 00:00:00</w:t>
            </w:r>
          </w:p>
        </w:tc>
        <w:tc>
          <w:tcPr>
            <w:tcW w:w="1443" w:type="dxa"/>
          </w:tcPr>
          <w:p>
            <w:r/>
          </w:p>
        </w:tc>
        <w:tc>
          <w:tcPr>
            <w:tcW w:w="1443" w:type="dxa"/>
          </w:tcPr>
          <w:p>
            <w:r/>
          </w:p>
        </w:tc>
        <w:tc>
          <w:tcPr>
            <w:tcW w:w="1443" w:type="dxa"/>
          </w:tcPr>
          <w:p>
            <w:r>
              <w:t>0.66</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2019-07-24 00:00:00</w:t>
            </w:r>
          </w:p>
        </w:tc>
        <w:tc>
          <w:tcPr>
            <w:tcW w:w="1443" w:type="dxa"/>
            <w:shd w:val="clear" w:color="auto" w:fill="EFEFEF"/>
          </w:tcPr>
          <w:p>
            <w:r/>
          </w:p>
        </w:tc>
        <w:tc>
          <w:tcPr>
            <w:tcW w:w="1443" w:type="dxa"/>
            <w:shd w:val="clear" w:color="auto" w:fill="EFEFEF"/>
          </w:tcPr>
          <w:p>
            <w:r/>
          </w:p>
        </w:tc>
        <w:tc>
          <w:tcPr>
            <w:tcW w:w="1443" w:type="dxa"/>
            <w:shd w:val="clear" w:color="auto" w:fill="EFEFEF"/>
          </w:tcPr>
          <w:p>
            <w:r>
              <w:t>1.53</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57"/>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2019-07-24 00:00:00</w:t>
            </w:r>
          </w:p>
        </w:tc>
        <w:tc>
          <w:tcPr>
            <w:tcW w:w="1443" w:type="dxa"/>
            <w:tcBorders>
              <w:top w:val="single" w:sz="2" w:space="0" w:color="000000"/>
            </w:tcBorders>
          </w:tcPr>
          <w:p>
            <w:r/>
          </w:p>
        </w:tc>
        <w:tc>
          <w:tcPr>
            <w:tcW w:w="1443" w:type="dxa"/>
            <w:tcBorders>
              <w:top w:val="single" w:sz="2" w:space="0" w:color="000000"/>
            </w:tcBorders>
          </w:tcPr>
          <w:p>
            <w:r/>
          </w:p>
        </w:tc>
        <w:tc>
          <w:tcPr>
            <w:tcW w:w="1443" w:type="dxa"/>
            <w:tcBorders>
              <w:top w:val="single" w:sz="2" w:space="0" w:color="000000"/>
            </w:tcBorders>
          </w:tcPr>
          <w:p>
            <w:r>
              <w:t>0.03</w:t>
            </w:r>
          </w:p>
        </w:tc>
        <w:tc>
          <w:tcPr>
            <w:tcW w:w="2470" w:type="dxa"/>
            <w:tcBorders>
              <w:top w:val="single" w:sz="2" w:space="0" w:color="000000"/>
            </w:tcBorders>
            <w:shd w:val="clear" w:color="auto" w:fill="EFEFEF"/>
          </w:tcPr>
          <w:p>
            <w:r>
              <w:t>Mogale City Ward 32, Krugersdorp, Mogale City Local Municipality, West Rand District Municipality, Gauteng</w:t>
            </w:r>
          </w:p>
        </w:tc>
        <w:tc>
          <w:tcPr>
            <w:tcW w:w="2070" w:type="dxa"/>
            <w:tcBorders>
              <w:top w:val="single" w:sz="2" w:space="0" w:color="000000"/>
            </w:tcBorders>
            <w:shd w:val="clear" w:color="auto" w:fill="EFEFEF"/>
          </w:tcPr>
          <w:p>
            <w:r>
              <w:t>Mogale City Ward 32, Krugersdorp, Mogale City Local Municipality, West Rand District Municipality, Gauteng</w:t>
            </w:r>
          </w:p>
        </w:tc>
        <w:tc>
          <w:tcPr>
            <w:tcW w:w="2280" w:type="dxa"/>
            <w:tcBorders>
              <w:top w:val="single" w:sz="2" w:space="0" w:color="000000"/>
            </w:tcBorders>
            <w:shd w:val="clear" w:color="auto" w:fill="EFEFEF"/>
          </w:tcPr>
          <w:p>
            <w:r>
              <w:t>Business Travel</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2019-07-24 00:00:00</w:t>
            </w:r>
          </w:p>
        </w:tc>
        <w:tc>
          <w:tcPr>
            <w:tcW w:w="1443" w:type="dxa"/>
          </w:tcPr>
          <w:p>
            <w:r/>
          </w:p>
        </w:tc>
        <w:tc>
          <w:tcPr>
            <w:tcW w:w="1443" w:type="dxa"/>
          </w:tcPr>
          <w:p>
            <w:r/>
          </w:p>
        </w:tc>
        <w:tc>
          <w:tcPr>
            <w:tcW w:w="1443" w:type="dxa"/>
          </w:tcPr>
          <w:p>
            <w:r>
              <w:t>19.97</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Mogale City Ward 32, Krugersdorp, Mogale City Local Municipality, West Rand District Municipality, Gauteng</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2019-07-24 00:00:00</w:t>
            </w:r>
          </w:p>
        </w:tc>
        <w:tc>
          <w:tcPr>
            <w:tcW w:w="1443" w:type="dxa"/>
          </w:tcPr>
          <w:p>
            <w:r/>
          </w:p>
        </w:tc>
        <w:tc>
          <w:tcPr>
            <w:tcW w:w="1443" w:type="dxa"/>
          </w:tcPr>
          <w:p>
            <w:r/>
          </w:p>
        </w:tc>
        <w:tc>
          <w:tcPr>
            <w:tcW w:w="1443" w:type="dxa"/>
          </w:tcPr>
          <w:p>
            <w:r>
              <w:t>1.1</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2019-07-24 00:00:00</w:t>
            </w:r>
          </w:p>
        </w:tc>
        <w:tc>
          <w:tcPr>
            <w:tcW w:w="1443" w:type="dxa"/>
          </w:tcPr>
          <w:p>
            <w:r/>
          </w:p>
        </w:tc>
        <w:tc>
          <w:tcPr>
            <w:tcW w:w="1443" w:type="dxa"/>
          </w:tcPr>
          <w:p>
            <w:r/>
          </w:p>
        </w:tc>
        <w:tc>
          <w:tcPr>
            <w:tcW w:w="1443" w:type="dxa"/>
          </w:tcPr>
          <w:p>
            <w:r>
              <w:t>19.99</w:t>
            </w:r>
          </w:p>
        </w:tc>
        <w:tc>
          <w:tcPr>
            <w:tcW w:w="2470" w:type="dxa"/>
            <w:shd w:val="clear" w:color="auto" w:fill="EFEFEF"/>
          </w:tcPr>
          <w:p>
            <w:r>
              <w:t>Mogale City Ward 32, Krugersdorp, Mogale City Local Municipality, West Rand District Municipality, Gauteng</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2019-07-25 00:00:00</w:t>
            </w:r>
          </w:p>
        </w:tc>
        <w:tc>
          <w:tcPr>
            <w:tcW w:w="1443" w:type="dxa"/>
          </w:tcPr>
          <w:p>
            <w:r/>
          </w:p>
        </w:tc>
        <w:tc>
          <w:tcPr>
            <w:tcW w:w="1443" w:type="dxa"/>
          </w:tcPr>
          <w:p>
            <w:r/>
          </w:p>
        </w:tc>
        <w:tc>
          <w:tcPr>
            <w:tcW w:w="1443" w:type="dxa"/>
          </w:tcPr>
          <w:p>
            <w:r>
              <w:t>1.05</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2019-07-25 00:00:00</w:t>
            </w:r>
          </w:p>
        </w:tc>
        <w:tc>
          <w:tcPr>
            <w:tcW w:w="1443" w:type="dxa"/>
          </w:tcPr>
          <w:p>
            <w:r/>
          </w:p>
        </w:tc>
        <w:tc>
          <w:tcPr>
            <w:tcW w:w="1443" w:type="dxa"/>
          </w:tcPr>
          <w:p>
            <w:r/>
          </w:p>
        </w:tc>
        <w:tc>
          <w:tcPr>
            <w:tcW w:w="1443" w:type="dxa"/>
          </w:tcPr>
          <w:p>
            <w:r>
              <w:t>32.45</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Western Bypass, Woodmead East, Johannesburg Ward 106, Sandton,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2019-07-25 00:00:00</w:t>
            </w:r>
          </w:p>
        </w:tc>
        <w:tc>
          <w:tcPr>
            <w:tcW w:w="1443" w:type="dxa"/>
          </w:tcPr>
          <w:p>
            <w:r/>
          </w:p>
        </w:tc>
        <w:tc>
          <w:tcPr>
            <w:tcW w:w="1443" w:type="dxa"/>
          </w:tcPr>
          <w:p>
            <w:r/>
          </w:p>
        </w:tc>
        <w:tc>
          <w:tcPr>
            <w:tcW w:w="1443" w:type="dxa"/>
          </w:tcPr>
          <w:p>
            <w:r>
              <w:t>28.52</w:t>
            </w:r>
          </w:p>
        </w:tc>
        <w:tc>
          <w:tcPr>
            <w:tcW w:w="2470" w:type="dxa"/>
            <w:shd w:val="clear" w:color="auto" w:fill="EFEFEF"/>
          </w:tcPr>
          <w:p>
            <w:r>
              <w:t>Morris Street East, Woodmead Ext, Johannesburg Ward 106, Sandton, City of Johannesburg Metropolitan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2019-07-25 00:00:00</w:t>
            </w:r>
          </w:p>
        </w:tc>
        <w:tc>
          <w:tcPr>
            <w:tcW w:w="1443" w:type="dxa"/>
          </w:tcPr>
          <w:p>
            <w:r/>
          </w:p>
        </w:tc>
        <w:tc>
          <w:tcPr>
            <w:tcW w:w="1443" w:type="dxa"/>
          </w:tcPr>
          <w:p>
            <w:r/>
          </w:p>
        </w:tc>
        <w:tc>
          <w:tcPr>
            <w:tcW w:w="1443" w:type="dxa"/>
          </w:tcPr>
          <w:p>
            <w:r>
              <w:t>1.07</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2019-07-25 00:00:00</w:t>
            </w:r>
          </w:p>
        </w:tc>
        <w:tc>
          <w:tcPr>
            <w:tcW w:w="1443" w:type="dxa"/>
          </w:tcPr>
          <w:p>
            <w:r/>
          </w:p>
        </w:tc>
        <w:tc>
          <w:tcPr>
            <w:tcW w:w="1443" w:type="dxa"/>
          </w:tcPr>
          <w:p>
            <w:r/>
          </w:p>
        </w:tc>
        <w:tc>
          <w:tcPr>
            <w:tcW w:w="1443" w:type="dxa"/>
          </w:tcPr>
          <w:p>
            <w:r>
              <w:t>1.08</w:t>
            </w:r>
          </w:p>
        </w:tc>
        <w:tc>
          <w:tcPr>
            <w:tcW w:w="2470" w:type="dxa"/>
            <w:shd w:val="clear" w:color="auto" w:fill="EFEFEF"/>
          </w:tcPr>
          <w:p>
            <w:r>
              <w:t>Stokroos Avenue, Mindalore North, Mogale City Ward 18, Krugersdorp, Mogale City Local Municipality</w:t>
            </w:r>
          </w:p>
        </w:tc>
        <w:tc>
          <w:tcPr>
            <w:tcW w:w="2070" w:type="dxa"/>
            <w:shd w:val="clear" w:color="auto" w:fill="EFEFEF"/>
          </w:tcPr>
          <w:p>
            <w:r>
              <w:t>Speldekussing Avenue, Roodekrans,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2019-07-25 00:00:00</w:t>
            </w:r>
          </w:p>
        </w:tc>
        <w:tc>
          <w:tcPr>
            <w:tcW w:w="1443" w:type="dxa"/>
          </w:tcPr>
          <w:p>
            <w:r/>
          </w:p>
        </w:tc>
        <w:tc>
          <w:tcPr>
            <w:tcW w:w="1443" w:type="dxa"/>
          </w:tcPr>
          <w:p>
            <w:r/>
          </w:p>
        </w:tc>
        <w:tc>
          <w:tcPr>
            <w:tcW w:w="1443" w:type="dxa"/>
          </w:tcPr>
          <w:p>
            <w:r>
              <w:t>1.15</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2019-07-26 00:00:00</w:t>
            </w:r>
          </w:p>
        </w:tc>
        <w:tc>
          <w:tcPr>
            <w:tcW w:w="1443" w:type="dxa"/>
          </w:tcPr>
          <w:p>
            <w:r/>
          </w:p>
        </w:tc>
        <w:tc>
          <w:tcPr>
            <w:tcW w:w="1443" w:type="dxa"/>
          </w:tcPr>
          <w:p>
            <w:r/>
          </w:p>
        </w:tc>
        <w:tc>
          <w:tcPr>
            <w:tcW w:w="1443" w:type="dxa"/>
          </w:tcPr>
          <w:p>
            <w:r>
              <w:t>0.89</w:t>
            </w:r>
          </w:p>
        </w:tc>
        <w:tc>
          <w:tcPr>
            <w:tcW w:w="2470" w:type="dxa"/>
            <w:shd w:val="clear" w:color="auto" w:fill="EFEFEF"/>
          </w:tcPr>
          <w:p>
            <w:r>
              <w:t>Speldekussing Avenue, Roodekrans, Johannesburg Ward 83, Roodepoort, City of Johannesburg Metropolitan Municipality</w:t>
            </w:r>
          </w:p>
        </w:tc>
        <w:tc>
          <w:tcPr>
            <w:tcW w:w="2070" w:type="dxa"/>
            <w:shd w:val="clear" w:color="auto" w:fill="EFEFEF"/>
          </w:tcPr>
          <w:p>
            <w:r>
              <w:t>C.R. Swart Drive, Wilropark,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2019-07-26 00:00:00</w:t>
            </w:r>
          </w:p>
        </w:tc>
        <w:tc>
          <w:tcPr>
            <w:tcW w:w="1443" w:type="dxa"/>
          </w:tcPr>
          <w:p>
            <w:r/>
          </w:p>
        </w:tc>
        <w:tc>
          <w:tcPr>
            <w:tcW w:w="1443" w:type="dxa"/>
          </w:tcPr>
          <w:p>
            <w:r/>
          </w:p>
        </w:tc>
        <w:tc>
          <w:tcPr>
            <w:tcW w:w="1443" w:type="dxa"/>
          </w:tcPr>
          <w:p>
            <w:r>
              <w:t>0.68</w:t>
            </w:r>
          </w:p>
        </w:tc>
        <w:tc>
          <w:tcPr>
            <w:tcW w:w="2470" w:type="dxa"/>
            <w:shd w:val="clear" w:color="auto" w:fill="EFEFEF"/>
          </w:tcPr>
          <w:p>
            <w:r>
              <w:t>Hakea Avenue, Breaunanda, Johannesburg Ward 83, Roodepoort, City of Johannesburg Metropolitan Municipality</w:t>
            </w:r>
          </w:p>
        </w:tc>
        <w:tc>
          <w:tcPr>
            <w:tcW w:w="2070" w:type="dxa"/>
            <w:shd w:val="clear" w:color="auto" w:fill="EFEFEF"/>
          </w:tcPr>
          <w:p>
            <w:r>
              <w:t>Stokroos Avenue, Mindalore North, Mogale City Ward 18, Krugersdorp, Mogale City Local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r>
              <w:t>2019-07-26 00:00:00</w:t>
            </w:r>
          </w:p>
        </w:tc>
        <w:tc>
          <w:tcPr>
            <w:tcW w:w="1443" w:type="dxa"/>
          </w:tcPr>
          <w:p>
            <w:r/>
          </w:p>
        </w:tc>
        <w:tc>
          <w:tcPr>
            <w:tcW w:w="1443" w:type="dxa"/>
          </w:tcPr>
          <w:p>
            <w:r/>
          </w:p>
        </w:tc>
        <w:tc>
          <w:tcPr>
            <w:tcW w:w="1443" w:type="dxa"/>
          </w:tcPr>
          <w:p>
            <w:r>
              <w:t>3.08</w:t>
            </w:r>
          </w:p>
        </w:tc>
        <w:tc>
          <w:tcPr>
            <w:tcW w:w="2470" w:type="dxa"/>
            <w:shd w:val="clear" w:color="auto" w:fill="EFEFEF"/>
          </w:tcPr>
          <w:p>
            <w:r>
              <w:t>Ouklip Pharmacy, Ouklip Road, Roodekrans, Johannesburg Ward 83, Roodepoort</w:t>
            </w:r>
          </w:p>
        </w:tc>
        <w:tc>
          <w:tcPr>
            <w:tcW w:w="2070" w:type="dxa"/>
            <w:shd w:val="clear" w:color="auto" w:fill="EFEFEF"/>
          </w:tcPr>
          <w:p>
            <w:r>
              <w:t>Hakea Avenue, Breaunanda, Johannesburg Ward 83, Roodepoort, City of Johannesburg Metropolitan Municipality</w:t>
            </w:r>
          </w:p>
        </w:tc>
        <w:tc>
          <w:tcPr>
            <w:tcW w:w="2280" w:type="dxa"/>
            <w:shd w:val="clear" w:color="auto" w:fill="EFEFEF"/>
          </w:tcPr>
          <w:p>
            <w:r>
              <w:t>Business Travel</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r>
              <w:t>2019-07-26 00:00:00</w:t>
            </w:r>
          </w:p>
        </w:tc>
        <w:tc>
          <w:tcPr>
            <w:tcW w:w="1443" w:type="dxa"/>
            <w:shd w:val="clear" w:color="auto" w:fill="EFEFEF"/>
          </w:tcPr>
          <w:p>
            <w:r/>
          </w:p>
        </w:tc>
        <w:tc>
          <w:tcPr>
            <w:tcW w:w="1443" w:type="dxa"/>
            <w:shd w:val="clear" w:color="auto" w:fill="EFEFEF"/>
          </w:tcPr>
          <w:p>
            <w:r/>
          </w:p>
        </w:tc>
        <w:tc>
          <w:tcPr>
            <w:tcW w:w="1443" w:type="dxa"/>
            <w:shd w:val="clear" w:color="auto" w:fill="EFEFEF"/>
          </w:tcPr>
          <w:p>
            <w:r>
              <w:t>4.44</w:t>
            </w:r>
          </w:p>
        </w:tc>
        <w:tc>
          <w:tcPr>
            <w:tcW w:w="2470" w:type="dxa"/>
            <w:shd w:val="clear" w:color="auto" w:fill="EFEFEF"/>
          </w:tcPr>
          <w:p>
            <w:r>
              <w:t>Carol Road, Silverfields, Mogale City Ward 18, Krugersdorp, Mogale City Local Municipality</w:t>
            </w:r>
          </w:p>
        </w:tc>
        <w:tc>
          <w:tcPr>
            <w:tcW w:w="2070" w:type="dxa"/>
            <w:shd w:val="clear" w:color="auto" w:fill="EFEFEF"/>
          </w:tcPr>
          <w:p>
            <w:r>
              <w:t>Ouklip Liquors, Ouklip Road, Roodekrans, Johannesburg Ward 83, Roodepoort</w:t>
            </w:r>
          </w:p>
        </w:tc>
        <w:tc>
          <w:tcPr>
            <w:tcW w:w="2280" w:type="dxa"/>
            <w:shd w:val="clear" w:color="auto" w:fill="EFEFEF"/>
          </w:tcPr>
          <w:p>
            <w:r>
              <w:t>Business Travel</w:t>
            </w: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
        <w:rPr>
          <w:rFonts w:ascii="Trebuchet MS"/>
          <w:b/>
          <w:sz w:val="17"/>
        </w:rPr>
      </w:pPr>
      <w:r>
        <w:rPr>
          <w:rFonts w:ascii="Trebuchet MS"/>
          <w:b/>
          <w:sz w:val="17"/>
        </w:rPr>
        <w:drawing>
          <wp:anchor distT="0" distB="0" distL="0" distR="0" allowOverlap="1" layoutInCell="1" locked="0" behindDoc="0" simplePos="0" relativeHeight="15731712">
            <wp:simplePos x="0" y="0"/>
            <wp:positionH relativeFrom="page">
              <wp:posOffset>-3136</wp:posOffset>
            </wp:positionH>
            <wp:positionV relativeFrom="page">
              <wp:posOffset>10871</wp:posOffset>
            </wp:positionV>
            <wp:extent cx="10674197" cy="752668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10674197" cy="7526680"/>
                    </a:xfrm>
                    <a:prstGeom prst="rect">
                      <a:avLst/>
                    </a:prstGeom>
                  </pic:spPr>
                </pic:pic>
              </a:graphicData>
            </a:graphic>
          </wp:anchor>
        </w:drawing>
      </w:r>
    </w:p>
    <w:sectPr>
      <w:headerReference w:type="default" r:id="rId11"/>
      <w:footerReference w:type="default" r:id="rId12"/>
      <w:pgSz w:w="16840" w:h="11910" w:orient="landscape"/>
      <w:pgMar w:header="0" w:footer="0" w:top="13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5264">
              <wp:simplePos x="0" y="0"/>
              <wp:positionH relativeFrom="page">
                <wp:posOffset>221297</wp:posOffset>
              </wp:positionH>
              <wp:positionV relativeFrom="page">
                <wp:posOffset>7116457</wp:posOffset>
              </wp:positionV>
              <wp:extent cx="2245995" cy="1905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45995" cy="190500"/>
                      </a:xfrm>
                      <a:prstGeom prst="rect">
                        <a:avLst/>
                      </a:prstGeom>
                    </wps:spPr>
                    <wps:txbx>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wps:txbx>
                    <wps:bodyPr wrap="square" lIns="0" tIns="0" rIns="0" bIns="0" rtlCol="0">
                      <a:noAutofit/>
                    </wps:bodyPr>
                  </wps:wsp>
                </a:graphicData>
              </a:graphic>
            </wp:anchor>
          </w:drawing>
        </mc:Choice>
        <mc:Fallback>
          <w:pict>
            <v:shape style="position:absolute;margin-left:17.424999pt;margin-top:560.351013pt;width:176.85pt;height:15pt;mso-position-horizontal-relative:page;mso-position-vertical-relative:page;z-index:-17801216" type="#_x0000_t202" id="docshape27" filled="false" stroked="false">
              <v:textbox inset="0,0,0,0">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6800">
              <wp:simplePos x="0" y="0"/>
              <wp:positionH relativeFrom="page">
                <wp:posOffset>242315</wp:posOffset>
              </wp:positionH>
              <wp:positionV relativeFrom="page">
                <wp:posOffset>7279602</wp:posOffset>
              </wp:positionV>
              <wp:extent cx="2245995" cy="1905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45995" cy="190500"/>
                      </a:xfrm>
                      <a:prstGeom prst="rect">
                        <a:avLst/>
                      </a:prstGeom>
                    </wps:spPr>
                    <wps:txbx>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wps:txbx>
                    <wps:bodyPr wrap="square" lIns="0" tIns="0" rIns="0" bIns="0" rtlCol="0">
                      <a:noAutofit/>
                    </wps:bodyPr>
                  </wps:wsp>
                </a:graphicData>
              </a:graphic>
            </wp:anchor>
          </w:drawing>
        </mc:Choice>
        <mc:Fallback>
          <w:pict>
            <v:shape style="position:absolute;margin-left:19.080pt;margin-top:573.197021pt;width:176.85pt;height:15pt;mso-position-horizontal-relative:page;mso-position-vertical-relative:page;z-index:-17799680" type="#_x0000_t202" id="docshape32" filled="false" stroked="false">
              <v:textbox inset="0,0,0,0">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4240">
              <wp:simplePos x="0" y="0"/>
              <wp:positionH relativeFrom="page">
                <wp:posOffset>-3175</wp:posOffset>
              </wp:positionH>
              <wp:positionV relativeFrom="page">
                <wp:posOffset>170929</wp:posOffset>
              </wp:positionV>
              <wp:extent cx="10698480" cy="45593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0698480" cy="455930"/>
                        <a:chExt cx="10698480" cy="455930"/>
                      </a:xfrm>
                    </wpg:grpSpPr>
                    <wps:wsp>
                      <wps:cNvPr id="25" name="Graphic 25"/>
                      <wps:cNvSpPr/>
                      <wps:spPr>
                        <a:xfrm>
                          <a:off x="3175" y="3175"/>
                          <a:ext cx="10692130" cy="449580"/>
                        </a:xfrm>
                        <a:custGeom>
                          <a:avLst/>
                          <a:gdLst/>
                          <a:ahLst/>
                          <a:cxnLst/>
                          <a:rect l="l" t="t" r="r" b="b"/>
                          <a:pathLst>
                            <a:path w="10692130" h="449580">
                              <a:moveTo>
                                <a:pt x="10692003" y="0"/>
                              </a:moveTo>
                              <a:lnTo>
                                <a:pt x="0" y="0"/>
                              </a:lnTo>
                              <a:lnTo>
                                <a:pt x="0" y="449097"/>
                              </a:lnTo>
                              <a:lnTo>
                                <a:pt x="10692003" y="449097"/>
                              </a:lnTo>
                              <a:lnTo>
                                <a:pt x="10692003"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3175" y="3175"/>
                          <a:ext cx="10692130" cy="449580"/>
                        </a:xfrm>
                        <a:custGeom>
                          <a:avLst/>
                          <a:gdLst/>
                          <a:ahLst/>
                          <a:cxnLst/>
                          <a:rect l="l" t="t" r="r" b="b"/>
                          <a:pathLst>
                            <a:path w="10692130" h="449580">
                              <a:moveTo>
                                <a:pt x="0" y="449097"/>
                              </a:moveTo>
                              <a:lnTo>
                                <a:pt x="10692003" y="449097"/>
                              </a:lnTo>
                              <a:lnTo>
                                <a:pt x="10692003" y="0"/>
                              </a:lnTo>
                              <a:lnTo>
                                <a:pt x="0" y="0"/>
                              </a:lnTo>
                              <a:lnTo>
                                <a:pt x="0" y="449097"/>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3.459027pt;width:842.4pt;height:35.9pt;mso-position-horizontal-relative:page;mso-position-vertical-relative:page;z-index:-17802240" id="docshapegroup23" coordorigin="-5,269" coordsize="16848,718">
              <v:rect style="position:absolute;left:0;top:274;width:16838;height:708" id="docshape24" filled="true" fillcolor="#000000" stroked="false">
                <v:fill type="solid"/>
              </v:rect>
              <v:rect style="position:absolute;left:0;top:274;width:16838;height:708" id="docshape25" filled="false" stroked="true" strokeweight=".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85514752">
              <wp:simplePos x="0" y="0"/>
              <wp:positionH relativeFrom="page">
                <wp:posOffset>213398</wp:posOffset>
              </wp:positionH>
              <wp:positionV relativeFrom="page">
                <wp:posOffset>284353</wp:posOffset>
              </wp:positionV>
              <wp:extent cx="1953895" cy="2286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53895" cy="228600"/>
                      </a:xfrm>
                      <a:prstGeom prst="rect">
                        <a:avLst/>
                      </a:prstGeom>
                    </wps:spPr>
                    <wps:txbx>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wps:txbx>
                    <wps:bodyPr wrap="square" lIns="0" tIns="0" rIns="0" bIns="0" rtlCol="0">
                      <a:noAutofit/>
                    </wps:bodyPr>
                  </wps:wsp>
                </a:graphicData>
              </a:graphic>
            </wp:anchor>
          </w:drawing>
        </mc:Choice>
        <mc:Fallback>
          <w:pict>
            <v:shape style="position:absolute;margin-left:16.802999pt;margin-top:22.390028pt;width:153.85pt;height:18pt;mso-position-horizontal-relative:page;mso-position-vertical-relative:page;z-index:-17801728" type="#_x0000_t202" id="docshape26" filled="false" stroked="false">
              <v:textbox inset="0,0,0,0">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5776">
              <wp:simplePos x="0" y="0"/>
              <wp:positionH relativeFrom="page">
                <wp:posOffset>-3175</wp:posOffset>
              </wp:positionH>
              <wp:positionV relativeFrom="page">
                <wp:posOffset>152959</wp:posOffset>
              </wp:positionV>
              <wp:extent cx="10698480" cy="45593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0698480" cy="455930"/>
                        <a:chExt cx="10698480" cy="455930"/>
                      </a:xfrm>
                    </wpg:grpSpPr>
                    <wps:wsp>
                      <wps:cNvPr id="30" name="Graphic 30"/>
                      <wps:cNvSpPr/>
                      <wps:spPr>
                        <a:xfrm>
                          <a:off x="3175" y="3175"/>
                          <a:ext cx="10692130" cy="449580"/>
                        </a:xfrm>
                        <a:custGeom>
                          <a:avLst/>
                          <a:gdLst/>
                          <a:ahLst/>
                          <a:cxnLst/>
                          <a:rect l="l" t="t" r="r" b="b"/>
                          <a:pathLst>
                            <a:path w="10692130" h="449580">
                              <a:moveTo>
                                <a:pt x="10692003" y="0"/>
                              </a:moveTo>
                              <a:lnTo>
                                <a:pt x="0" y="0"/>
                              </a:lnTo>
                              <a:lnTo>
                                <a:pt x="0" y="449097"/>
                              </a:lnTo>
                              <a:lnTo>
                                <a:pt x="10692003" y="449097"/>
                              </a:lnTo>
                              <a:lnTo>
                                <a:pt x="10692003"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175" y="3175"/>
                          <a:ext cx="10692130" cy="449580"/>
                        </a:xfrm>
                        <a:custGeom>
                          <a:avLst/>
                          <a:gdLst/>
                          <a:ahLst/>
                          <a:cxnLst/>
                          <a:rect l="l" t="t" r="r" b="b"/>
                          <a:pathLst>
                            <a:path w="10692130" h="449580">
                              <a:moveTo>
                                <a:pt x="0" y="449097"/>
                              </a:moveTo>
                              <a:lnTo>
                                <a:pt x="10692003" y="449097"/>
                              </a:lnTo>
                              <a:lnTo>
                                <a:pt x="10692003" y="0"/>
                              </a:lnTo>
                              <a:lnTo>
                                <a:pt x="0" y="0"/>
                              </a:lnTo>
                              <a:lnTo>
                                <a:pt x="0" y="449097"/>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2.044027pt;width:842.4pt;height:35.9pt;mso-position-horizontal-relative:page;mso-position-vertical-relative:page;z-index:-17800704" id="docshapegroup28" coordorigin="-5,241" coordsize="16848,718">
              <v:rect style="position:absolute;left:0;top:245;width:16838;height:708" id="docshape29" filled="true" fillcolor="#000000" stroked="false">
                <v:fill type="solid"/>
              </v:rect>
              <v:rect style="position:absolute;left:0;top:245;width:16838;height:708" id="docshape30" filled="false" stroked="true" strokeweight=".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85516288">
              <wp:simplePos x="0" y="0"/>
              <wp:positionH relativeFrom="page">
                <wp:posOffset>213398</wp:posOffset>
              </wp:positionH>
              <wp:positionV relativeFrom="page">
                <wp:posOffset>266382</wp:posOffset>
              </wp:positionV>
              <wp:extent cx="1953895" cy="2286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953895" cy="228600"/>
                      </a:xfrm>
                      <a:prstGeom prst="rect">
                        <a:avLst/>
                      </a:prstGeom>
                    </wps:spPr>
                    <wps:txbx>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wps:txbx>
                    <wps:bodyPr wrap="square" lIns="0" tIns="0" rIns="0" bIns="0" rtlCol="0">
                      <a:noAutofit/>
                    </wps:bodyPr>
                  </wps:wsp>
                </a:graphicData>
              </a:graphic>
            </wp:anchor>
          </w:drawing>
        </mc:Choice>
        <mc:Fallback>
          <w:pict>
            <v:shape style="position:absolute;margin-left:16.802999pt;margin-top:20.975027pt;width:153.85pt;height:18pt;mso-position-horizontal-relative:page;mso-position-vertical-relative:page;z-index:-17800192" type="#_x0000_t202" id="docshape31" filled="false" stroked="false">
              <v:textbox inset="0,0,0,0">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8.250000pt" o:bullet="t">
        <v:imagedata r:id="rId1" o:title="image2.png"/>
      </v:shape>
    </w:pict>
  </w:numPicBullet>
  <w:abstractNum w:abstractNumId="3">
    <w:multiLevelType w:val="hybridMultilevel"/>
    <w:lvl w:ilvl="0">
      <w:start w:val="0"/>
      <w:numFmt w:val="bullet"/>
      <w:lvlText w:val="&amp;"/>
      <w:lvlPicBulletId w:val="0"/>
      <w:lvlJc w:val="left"/>
      <w:pPr>
        <w:ind w:left="1007" w:hanging="540"/>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780" w:hanging="540"/>
      </w:pPr>
      <w:rPr>
        <w:rFonts w:hint="default"/>
        <w:lang w:val="en-US" w:eastAsia="en-US" w:bidi="ar-SA"/>
      </w:rPr>
    </w:lvl>
    <w:lvl w:ilvl="2">
      <w:start w:val="0"/>
      <w:numFmt w:val="bullet"/>
      <w:lvlText w:val="•"/>
      <w:lvlJc w:val="left"/>
      <w:pPr>
        <w:ind w:left="2561" w:hanging="540"/>
      </w:pPr>
      <w:rPr>
        <w:rFonts w:hint="default"/>
        <w:lang w:val="en-US" w:eastAsia="en-US" w:bidi="ar-SA"/>
      </w:rPr>
    </w:lvl>
    <w:lvl w:ilvl="3">
      <w:start w:val="0"/>
      <w:numFmt w:val="bullet"/>
      <w:lvlText w:val="•"/>
      <w:lvlJc w:val="left"/>
      <w:pPr>
        <w:ind w:left="3341" w:hanging="540"/>
      </w:pPr>
      <w:rPr>
        <w:rFonts w:hint="default"/>
        <w:lang w:val="en-US" w:eastAsia="en-US" w:bidi="ar-SA"/>
      </w:rPr>
    </w:lvl>
    <w:lvl w:ilvl="4">
      <w:start w:val="0"/>
      <w:numFmt w:val="bullet"/>
      <w:lvlText w:val="•"/>
      <w:lvlJc w:val="left"/>
      <w:pPr>
        <w:ind w:left="4122" w:hanging="540"/>
      </w:pPr>
      <w:rPr>
        <w:rFonts w:hint="default"/>
        <w:lang w:val="en-US" w:eastAsia="en-US" w:bidi="ar-SA"/>
      </w:rPr>
    </w:lvl>
    <w:lvl w:ilvl="5">
      <w:start w:val="0"/>
      <w:numFmt w:val="bullet"/>
      <w:lvlText w:val="•"/>
      <w:lvlJc w:val="left"/>
      <w:pPr>
        <w:ind w:left="4902" w:hanging="540"/>
      </w:pPr>
      <w:rPr>
        <w:rFonts w:hint="default"/>
        <w:lang w:val="en-US" w:eastAsia="en-US" w:bidi="ar-SA"/>
      </w:rPr>
    </w:lvl>
    <w:lvl w:ilvl="6">
      <w:start w:val="0"/>
      <w:numFmt w:val="bullet"/>
      <w:lvlText w:val="•"/>
      <w:lvlJc w:val="left"/>
      <w:pPr>
        <w:ind w:left="5683" w:hanging="540"/>
      </w:pPr>
      <w:rPr>
        <w:rFonts w:hint="default"/>
        <w:lang w:val="en-US" w:eastAsia="en-US" w:bidi="ar-SA"/>
      </w:rPr>
    </w:lvl>
    <w:lvl w:ilvl="7">
      <w:start w:val="0"/>
      <w:numFmt w:val="bullet"/>
      <w:lvlText w:val="•"/>
      <w:lvlJc w:val="left"/>
      <w:pPr>
        <w:ind w:left="6463" w:hanging="540"/>
      </w:pPr>
      <w:rPr>
        <w:rFonts w:hint="default"/>
        <w:lang w:val="en-US" w:eastAsia="en-US" w:bidi="ar-SA"/>
      </w:rPr>
    </w:lvl>
    <w:lvl w:ilvl="8">
      <w:start w:val="0"/>
      <w:numFmt w:val="bullet"/>
      <w:lvlText w:val="•"/>
      <w:lvlJc w:val="left"/>
      <w:pPr>
        <w:ind w:left="7244" w:hanging="540"/>
      </w:pPr>
      <w:rPr>
        <w:rFonts w:hint="default"/>
        <w:lang w:val="en-US" w:eastAsia="en-US" w:bidi="ar-SA"/>
      </w:rPr>
    </w:lvl>
  </w:abstractNum>
  <w:abstractNum w:abstractNumId="2">
    <w:multiLevelType w:val="hybridMultilevel"/>
    <w:lvl w:ilvl="0">
      <w:start w:val="1"/>
      <w:numFmt w:val="lowerLetter"/>
      <w:lvlText w:val="%1."/>
      <w:lvlJc w:val="left"/>
      <w:pPr>
        <w:ind w:left="833" w:hanging="403"/>
        <w:jc w:val="left"/>
      </w:pPr>
      <w:rPr>
        <w:rFonts w:hint="default" w:ascii="Calibri" w:hAnsi="Calibri" w:eastAsia="Calibri" w:cs="Calibri"/>
        <w:b w:val="0"/>
        <w:bCs w:val="0"/>
        <w:i w:val="0"/>
        <w:iCs w:val="0"/>
        <w:spacing w:val="-1"/>
        <w:w w:val="100"/>
        <w:sz w:val="26"/>
        <w:szCs w:val="26"/>
        <w:lang w:val="en-US" w:eastAsia="en-US" w:bidi="ar-SA"/>
      </w:rPr>
    </w:lvl>
    <w:lvl w:ilvl="1">
      <w:start w:val="0"/>
      <w:numFmt w:val="bullet"/>
      <w:lvlText w:val="•"/>
      <w:lvlJc w:val="left"/>
      <w:pPr>
        <w:ind w:left="1505" w:hanging="403"/>
      </w:pPr>
      <w:rPr>
        <w:rFonts w:hint="default"/>
        <w:lang w:val="en-US" w:eastAsia="en-US" w:bidi="ar-SA"/>
      </w:rPr>
    </w:lvl>
    <w:lvl w:ilvl="2">
      <w:start w:val="0"/>
      <w:numFmt w:val="bullet"/>
      <w:lvlText w:val="•"/>
      <w:lvlJc w:val="left"/>
      <w:pPr>
        <w:ind w:left="2170" w:hanging="403"/>
      </w:pPr>
      <w:rPr>
        <w:rFonts w:hint="default"/>
        <w:lang w:val="en-US" w:eastAsia="en-US" w:bidi="ar-SA"/>
      </w:rPr>
    </w:lvl>
    <w:lvl w:ilvl="3">
      <w:start w:val="0"/>
      <w:numFmt w:val="bullet"/>
      <w:lvlText w:val="•"/>
      <w:lvlJc w:val="left"/>
      <w:pPr>
        <w:ind w:left="2835" w:hanging="403"/>
      </w:pPr>
      <w:rPr>
        <w:rFonts w:hint="default"/>
        <w:lang w:val="en-US" w:eastAsia="en-US" w:bidi="ar-SA"/>
      </w:rPr>
    </w:lvl>
    <w:lvl w:ilvl="4">
      <w:start w:val="0"/>
      <w:numFmt w:val="bullet"/>
      <w:lvlText w:val="•"/>
      <w:lvlJc w:val="left"/>
      <w:pPr>
        <w:ind w:left="3500" w:hanging="403"/>
      </w:pPr>
      <w:rPr>
        <w:rFonts w:hint="default"/>
        <w:lang w:val="en-US" w:eastAsia="en-US" w:bidi="ar-SA"/>
      </w:rPr>
    </w:lvl>
    <w:lvl w:ilvl="5">
      <w:start w:val="0"/>
      <w:numFmt w:val="bullet"/>
      <w:lvlText w:val="•"/>
      <w:lvlJc w:val="left"/>
      <w:pPr>
        <w:ind w:left="4165" w:hanging="403"/>
      </w:pPr>
      <w:rPr>
        <w:rFonts w:hint="default"/>
        <w:lang w:val="en-US" w:eastAsia="en-US" w:bidi="ar-SA"/>
      </w:rPr>
    </w:lvl>
    <w:lvl w:ilvl="6">
      <w:start w:val="0"/>
      <w:numFmt w:val="bullet"/>
      <w:lvlText w:val="•"/>
      <w:lvlJc w:val="left"/>
      <w:pPr>
        <w:ind w:left="4830" w:hanging="403"/>
      </w:pPr>
      <w:rPr>
        <w:rFonts w:hint="default"/>
        <w:lang w:val="en-US" w:eastAsia="en-US" w:bidi="ar-SA"/>
      </w:rPr>
    </w:lvl>
    <w:lvl w:ilvl="7">
      <w:start w:val="0"/>
      <w:numFmt w:val="bullet"/>
      <w:lvlText w:val="•"/>
      <w:lvlJc w:val="left"/>
      <w:pPr>
        <w:ind w:left="5495" w:hanging="403"/>
      </w:pPr>
      <w:rPr>
        <w:rFonts w:hint="default"/>
        <w:lang w:val="en-US" w:eastAsia="en-US" w:bidi="ar-SA"/>
      </w:rPr>
    </w:lvl>
    <w:lvl w:ilvl="8">
      <w:start w:val="0"/>
      <w:numFmt w:val="bullet"/>
      <w:lvlText w:val="•"/>
      <w:lvlJc w:val="left"/>
      <w:pPr>
        <w:ind w:left="6160" w:hanging="403"/>
      </w:pPr>
      <w:rPr>
        <w:rFonts w:hint="default"/>
        <w:lang w:val="en-US" w:eastAsia="en-US" w:bidi="ar-SA"/>
      </w:rPr>
    </w:lvl>
  </w:abstractNum>
  <w:abstractNum w:abstractNumId="1">
    <w:multiLevelType w:val="hybridMultilevel"/>
    <w:lvl w:ilvl="0">
      <w:start w:val="1"/>
      <w:numFmt w:val="decimal"/>
      <w:lvlText w:val="%1."/>
      <w:lvlJc w:val="left"/>
      <w:pPr>
        <w:ind w:left="919" w:hanging="532"/>
        <w:jc w:val="left"/>
      </w:pPr>
      <w:rPr>
        <w:rFonts w:hint="default" w:ascii="Arial MT" w:hAnsi="Arial MT" w:eastAsia="Arial MT" w:cs="Arial MT"/>
        <w:b w:val="0"/>
        <w:bCs w:val="0"/>
        <w:i w:val="0"/>
        <w:iCs w:val="0"/>
        <w:spacing w:val="-1"/>
        <w:w w:val="100"/>
        <w:position w:val="2"/>
        <w:sz w:val="22"/>
        <w:szCs w:val="22"/>
        <w:lang w:val="en-US" w:eastAsia="en-US" w:bidi="ar-SA"/>
      </w:rPr>
    </w:lvl>
    <w:lvl w:ilvl="1">
      <w:start w:val="0"/>
      <w:numFmt w:val="bullet"/>
      <w:lvlText w:val="•"/>
      <w:lvlJc w:val="left"/>
      <w:pPr>
        <w:ind w:left="1700" w:hanging="532"/>
      </w:pPr>
      <w:rPr>
        <w:rFonts w:hint="default"/>
        <w:lang w:val="en-US" w:eastAsia="en-US" w:bidi="ar-SA"/>
      </w:rPr>
    </w:lvl>
    <w:lvl w:ilvl="2">
      <w:start w:val="0"/>
      <w:numFmt w:val="bullet"/>
      <w:lvlText w:val="•"/>
      <w:lvlJc w:val="left"/>
      <w:pPr>
        <w:ind w:left="2481" w:hanging="532"/>
      </w:pPr>
      <w:rPr>
        <w:rFonts w:hint="default"/>
        <w:lang w:val="en-US" w:eastAsia="en-US" w:bidi="ar-SA"/>
      </w:rPr>
    </w:lvl>
    <w:lvl w:ilvl="3">
      <w:start w:val="0"/>
      <w:numFmt w:val="bullet"/>
      <w:lvlText w:val="•"/>
      <w:lvlJc w:val="left"/>
      <w:pPr>
        <w:ind w:left="3262" w:hanging="532"/>
      </w:pPr>
      <w:rPr>
        <w:rFonts w:hint="default"/>
        <w:lang w:val="en-US" w:eastAsia="en-US" w:bidi="ar-SA"/>
      </w:rPr>
    </w:lvl>
    <w:lvl w:ilvl="4">
      <w:start w:val="0"/>
      <w:numFmt w:val="bullet"/>
      <w:lvlText w:val="•"/>
      <w:lvlJc w:val="left"/>
      <w:pPr>
        <w:ind w:left="4043" w:hanging="532"/>
      </w:pPr>
      <w:rPr>
        <w:rFonts w:hint="default"/>
        <w:lang w:val="en-US" w:eastAsia="en-US" w:bidi="ar-SA"/>
      </w:rPr>
    </w:lvl>
    <w:lvl w:ilvl="5">
      <w:start w:val="0"/>
      <w:numFmt w:val="bullet"/>
      <w:lvlText w:val="•"/>
      <w:lvlJc w:val="left"/>
      <w:pPr>
        <w:ind w:left="4824" w:hanging="532"/>
      </w:pPr>
      <w:rPr>
        <w:rFonts w:hint="default"/>
        <w:lang w:val="en-US" w:eastAsia="en-US" w:bidi="ar-SA"/>
      </w:rPr>
    </w:lvl>
    <w:lvl w:ilvl="6">
      <w:start w:val="0"/>
      <w:numFmt w:val="bullet"/>
      <w:lvlText w:val="•"/>
      <w:lvlJc w:val="left"/>
      <w:pPr>
        <w:ind w:left="5605" w:hanging="532"/>
      </w:pPr>
      <w:rPr>
        <w:rFonts w:hint="default"/>
        <w:lang w:val="en-US" w:eastAsia="en-US" w:bidi="ar-SA"/>
      </w:rPr>
    </w:lvl>
    <w:lvl w:ilvl="7">
      <w:start w:val="0"/>
      <w:numFmt w:val="bullet"/>
      <w:lvlText w:val="•"/>
      <w:lvlJc w:val="left"/>
      <w:pPr>
        <w:ind w:left="6386" w:hanging="532"/>
      </w:pPr>
      <w:rPr>
        <w:rFonts w:hint="default"/>
        <w:lang w:val="en-US" w:eastAsia="en-US" w:bidi="ar-SA"/>
      </w:rPr>
    </w:lvl>
    <w:lvl w:ilvl="8">
      <w:start w:val="0"/>
      <w:numFmt w:val="bullet"/>
      <w:lvlText w:val="•"/>
      <w:lvlJc w:val="left"/>
      <w:pPr>
        <w:ind w:left="7167" w:hanging="532"/>
      </w:pPr>
      <w:rPr>
        <w:rFonts w:hint="default"/>
        <w:lang w:val="en-US" w:eastAsia="en-US" w:bidi="ar-SA"/>
      </w:rPr>
    </w:lvl>
  </w:abstractNum>
  <w:abstractNum w:abstractNumId="0">
    <w:multiLevelType w:val="hybridMultilevel"/>
    <w:lvl w:ilvl="0">
      <w:start w:val="0"/>
      <w:numFmt w:val="bullet"/>
      <w:lvlText w:val=""/>
      <w:lvlJc w:val="left"/>
      <w:pPr>
        <w:ind w:left="1458" w:hanging="72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92" w:hanging="721"/>
      </w:pPr>
      <w:rPr>
        <w:rFonts w:hint="default"/>
        <w:lang w:val="en-US" w:eastAsia="en-US" w:bidi="ar-SA"/>
      </w:rPr>
    </w:lvl>
    <w:lvl w:ilvl="2">
      <w:start w:val="0"/>
      <w:numFmt w:val="bullet"/>
      <w:lvlText w:val="•"/>
      <w:lvlJc w:val="left"/>
      <w:pPr>
        <w:ind w:left="2724" w:hanging="721"/>
      </w:pPr>
      <w:rPr>
        <w:rFonts w:hint="default"/>
        <w:lang w:val="en-US" w:eastAsia="en-US" w:bidi="ar-SA"/>
      </w:rPr>
    </w:lvl>
    <w:lvl w:ilvl="3">
      <w:start w:val="0"/>
      <w:numFmt w:val="bullet"/>
      <w:lvlText w:val="•"/>
      <w:lvlJc w:val="left"/>
      <w:pPr>
        <w:ind w:left="3356" w:hanging="721"/>
      </w:pPr>
      <w:rPr>
        <w:rFonts w:hint="default"/>
        <w:lang w:val="en-US" w:eastAsia="en-US" w:bidi="ar-SA"/>
      </w:rPr>
    </w:lvl>
    <w:lvl w:ilvl="4">
      <w:start w:val="0"/>
      <w:numFmt w:val="bullet"/>
      <w:lvlText w:val="•"/>
      <w:lvlJc w:val="left"/>
      <w:pPr>
        <w:ind w:left="3988" w:hanging="721"/>
      </w:pPr>
      <w:rPr>
        <w:rFonts w:hint="default"/>
        <w:lang w:val="en-US" w:eastAsia="en-US" w:bidi="ar-SA"/>
      </w:rPr>
    </w:lvl>
    <w:lvl w:ilvl="5">
      <w:start w:val="0"/>
      <w:numFmt w:val="bullet"/>
      <w:lvlText w:val="•"/>
      <w:lvlJc w:val="left"/>
      <w:pPr>
        <w:ind w:left="4620" w:hanging="721"/>
      </w:pPr>
      <w:rPr>
        <w:rFonts w:hint="default"/>
        <w:lang w:val="en-US" w:eastAsia="en-US" w:bidi="ar-SA"/>
      </w:rPr>
    </w:lvl>
    <w:lvl w:ilvl="6">
      <w:start w:val="0"/>
      <w:numFmt w:val="bullet"/>
      <w:lvlText w:val="•"/>
      <w:lvlJc w:val="left"/>
      <w:pPr>
        <w:ind w:left="5252" w:hanging="721"/>
      </w:pPr>
      <w:rPr>
        <w:rFonts w:hint="default"/>
        <w:lang w:val="en-US" w:eastAsia="en-US" w:bidi="ar-SA"/>
      </w:rPr>
    </w:lvl>
    <w:lvl w:ilvl="7">
      <w:start w:val="0"/>
      <w:numFmt w:val="bullet"/>
      <w:lvlText w:val="•"/>
      <w:lvlJc w:val="left"/>
      <w:pPr>
        <w:ind w:left="5884" w:hanging="721"/>
      </w:pPr>
      <w:rPr>
        <w:rFonts w:hint="default"/>
        <w:lang w:val="en-US" w:eastAsia="en-US" w:bidi="ar-SA"/>
      </w:rPr>
    </w:lvl>
    <w:lvl w:ilvl="8">
      <w:start w:val="0"/>
      <w:numFmt w:val="bullet"/>
      <w:lvlText w:val="•"/>
      <w:lvlJc w:val="left"/>
      <w:pPr>
        <w:ind w:left="6516" w:hanging="72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6"/>
      <w:szCs w:val="26"/>
      <w:lang w:val="en-US" w:eastAsia="en-US" w:bidi="ar-SA"/>
    </w:rPr>
  </w:style>
  <w:style w:styleId="Heading1" w:type="paragraph">
    <w:name w:val="Heading 1"/>
    <w:basedOn w:val="Normal"/>
    <w:uiPriority w:val="1"/>
    <w:qFormat/>
    <w:pPr>
      <w:ind w:left="359"/>
      <w:outlineLvl w:val="1"/>
    </w:pPr>
    <w:rPr>
      <w:rFonts w:ascii="Trebuchet MS" w:hAnsi="Trebuchet MS" w:eastAsia="Trebuchet MS" w:cs="Trebuchet MS"/>
      <w:b/>
      <w:bCs/>
      <w:sz w:val="28"/>
      <w:szCs w:val="28"/>
      <w:lang w:val="en-US" w:eastAsia="en-US" w:bidi="ar-SA"/>
    </w:rPr>
  </w:style>
  <w:style w:styleId="Heading2" w:type="paragraph">
    <w:name w:val="Heading 2"/>
    <w:basedOn w:val="Normal"/>
    <w:uiPriority w:val="1"/>
    <w:qFormat/>
    <w:pPr>
      <w:ind w:left="384"/>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458" w:hanging="540"/>
      <w:jc w:val="both"/>
    </w:pPr>
    <w:rPr>
      <w:rFonts w:ascii="Calibri" w:hAnsi="Calibri" w:eastAsia="Calibri" w:cs="Calibri"/>
      <w:lang w:val="en-US" w:eastAsia="en-US" w:bidi="ar-SA"/>
    </w:rPr>
  </w:style>
  <w:style w:styleId="TableParagraph" w:type="paragraph">
    <w:name w:val="Table Paragraph"/>
    <w:basedOn w:val="Normal"/>
    <w:uiPriority w:val="1"/>
    <w:qFormat/>
    <w:pPr/>
    <w:rPr>
      <w:rFonts w:ascii="Arial Black" w:hAnsi="Arial Black" w:eastAsia="Arial Black" w:cs="Arial Black"/>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sars.gov.za/"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2026-05-10T17:26:38Z</dcterms:created>
  <dcterms:modified xsi:type="dcterms:W3CDTF">2026-05-10T17:26:38Z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2025-04-01T00:00:00Z</vt:filetime>
  </property>
  <property fmtid="{D5CDD505-2E9C-101B-9397-08002B2CF9AE}" pid="4" name="Creator">
    <vt:lpwstr>Adobe LiveCycle Designer ES 9.0</vt:lpwstr>
  </property>
  <property fmtid="{D5CDD505-2E9C-101B-9397-08002B2CF9AE}" pid="5" name="LastSaved">
    <vt:filetime>2026-05-10T00:00:00Z</vt:filetime>
  </property>
  <property fmtid="{D5CDD505-2E9C-101B-9397-08002B2CF9AE}" pid="6" name="Producer">
    <vt:lpwstr>Adobe LiveCycle Designer ES 9.0</vt:lpwstr>
  </property>
</Properties>
</file>