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Attribution"/>
      </w:pPr>
      <w:r>
        <w:rPr>
          <w:rFonts w:ascii="Garamond" w:hAnsi="Garamond"/>
          <w:b w:val="0"/>
          <w:i w:val="0"/>
        </w:rPr>
        <w:t>— St. Patrick's Breastplate, trans. Cecil Frances Alexander</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We say icons are not painted but written, because the Word became flesh, and the Word is a written word, as well as a spoken word, and a read word. Saying that it is written separates the icon from every other kind of art.</w:t>
      </w:r>
    </w:p>
    <w:p>
      <w:pPr/>
      <w:r>
        <w:rPr>
          <w:rFonts w:ascii="Garamond" w:hAnsi="Garamond"/>
          <w:b w:val="0"/>
          <w:i w:val="0"/>
        </w:rPr>
        <w:t>Andrei Rublev wrote this icon of the Trinity, included on the cover of this book. 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 I should say up front: iconographers and theologians do not all agree on every detail of this reading — which angel corresponds to which Person, for instance, has been argued over for a century. What I'm giving you is the reading I find most illuminating, and the one most commonly taught, but not the only one on record.</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brown-red-purple color.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I read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Our insertion into the Holy Trinity through Christ is through a sharing in his sufferings and his death on the cross.</w:t>
      </w:r>
    </w:p>
    <w:p>
      <w:pPr/>
      <w:r>
        <w:rPr>
          <w:rFonts w:ascii="Garamond" w:hAnsi="Garamond"/>
          <w:b w:val="0"/>
          <w:i w:val="0"/>
        </w:rPr>
        <w:t>With our own prayer, I recommend taking this to the chapel — or your own inner room in your own time of silent recollection — to pray with this icon.</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It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in the words the Catechism quotes from her, "prayer is a surge of the heart; it is a simple look turned toward heaven, it is a cry of recognition and of love, embracing both trial and joy."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was good." He looked upon us created in his image and likeness, male and female, meant to enshrine that image of the Holy Trinity in their very bodies. He looked at us and said, "It was very good,"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We do not want to go anywhere near this heresy, so we conclude, "The Trinity is a mystery, we cannot understand it," and we stop there. But we read in the Catechism that the Trinity is the central Christian mystery.</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This lamp here even is a mystery. I cannot see the light, but by that light, I see other things. Logically, I do not think an engineered product is a mystery, but this lamp has memories for me. It has been here since my first retreat. I replaced the light bulb in it myself during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It was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When I was in college, I remember how Fr. Michael explained the Trinity — he would try to draw a picture of it — as three buckets. One bucket would pour out into the other bucket. So I made a picture. This is my attempt, not at the M.C. Escher waterfall, but at the PJ Gruber Trinitarian waterfall. It is imperfect,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the Son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St.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now,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St. John Paul II understood, something that St. John of the Cross certainly understood, and St. Louis de Montfort understood, in his devotion to Mary.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In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descend into hell,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Eternal God! O Eternal Trinity! Through the union of Thy divine nature Thou hast made so precious the Blood of Thine only-begotten Son! O eternal Trinity, Thou art as deep a mystery as the sea, in whom the more I seek, the more I find; and the more I find, the more I seek. For even immersed in the depths of Thee, my soul is never satisfied, always famished and hungering for Thee, eternal Trinity, wishing and desiring to see Thee, the True Light.</w:t>
      </w:r>
    </w:p>
    <w:p>
      <w:pPr>
        <w:pStyle w:val="Prayer"/>
      </w:pPr>
      <w:r>
        <w:rPr>
          <w:rFonts w:ascii="Garamond" w:hAnsi="Garamond"/>
          <w:b w:val="0"/>
          <w:i/>
        </w:rPr>
        <w:t>O eternal Trinity, with the light of understanding I have tasted and seen the depths of Thy mystery and the beauty of Thy creation. In seeing myself in Thee, I have seen that I will become like Thee. O eternal Father, from Thy power and Thy wisdom clearly Thou hast given to me a share of that wisdom which belongs to Thine Only-begotten Son. And truly hast the Holy Spirit, who proceedeth from Thee, Father and Son, given to me the desire to love Thee.</w:t>
      </w:r>
    </w:p>
    <w:p>
      <w:pPr>
        <w:pStyle w:val="Prayer"/>
      </w:pPr>
      <w:r>
        <w:rPr>
          <w:rFonts w:ascii="Garamond" w:hAnsi="Garamond"/>
          <w:b w:val="0"/>
          <w:i/>
        </w:rPr>
        <w:t>O eternal Trinity, Thou art my maker and I am Thy creation. Illuminated by Thee, I have learned that Thou hast made me a new creation through the Blood of Thine Only-begotten Son because Thou art captivated by love at the beauty of Thy creation.</w:t>
      </w:r>
    </w:p>
    <w:p>
      <w:pPr>
        <w:pStyle w:val="Prayer"/>
      </w:pPr>
      <w:r>
        <w:rPr>
          <w:rFonts w:ascii="Garamond" w:hAnsi="Garamond"/>
          <w:b w:val="0"/>
          <w:i/>
        </w:rPr>
        <w:t>O eternal Trinity, O Divinity, O unfathomable abyss, O deepest sea, what greater gift couldst Thou give me than Thy very Self? Thou art a fire that burns eternally yet never consumed, a fire that consumes with Thy heat my self-love. Again and again Thou art the fire who taketh away all cold heartedness and illuminateth the mind by Thy light, the light with which Thou hast made me to know Thy truth.</w:t>
      </w:r>
    </w:p>
    <w:p>
      <w:pPr>
        <w:pStyle w:val="Prayer"/>
      </w:pPr>
      <w:r>
        <w:rPr>
          <w:rFonts w:ascii="Garamond" w:hAnsi="Garamond"/>
          <w:b w:val="0"/>
          <w:i/>
        </w:rPr>
        <w:t>By this mirrored light I know Thou art the highest good, a good above all good, a fortunate good, an incomprehensible good, an unmeasurable good, a beauty above all beauty, a wisdom above all wisdom, for Thou art wisdom itself, the food of angels, the fire of love that Thou givest to man.</w:t>
      </w:r>
    </w:p>
    <w:p>
      <w:pPr>
        <w:pStyle w:val="Prayer"/>
      </w:pPr>
      <w:r>
        <w:rPr>
          <w:rFonts w:ascii="Garamond" w:hAnsi="Garamond"/>
          <w:b w:val="0"/>
          <w:i/>
        </w:rPr>
        <w:t>Thou art the garment covering our nakedness. Thou feedest our family with Thy sweetness, a sweetness Thou art from which there is no trace of bitterness. O Eternal Trinity! Amen.</w:t>
      </w:r>
    </w:p>
    <w:p>
      <w:pPr>
        <w:pStyle w:val="Attribution"/>
      </w:pPr>
      <w:r>
        <w:rPr>
          <w:rFonts w:ascii="Garamond" w:hAnsi="Garamond"/>
          <w:b w:val="0"/>
          <w:i w:val="0"/>
        </w:rPr>
        <w:t>— St. Catherine of Siena (1347–1380), Doctor of the Church</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caught up to the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val="0"/>
        </w:rPr>
        <w:t>— St. Augustine, Confessions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Moses, wandering in the desert and tending the flock of his father-in-law Jethro, sees on Mount Sinai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door. I am the vine. I am the way, and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You might think objects do not. Yes, they do. By merely existing,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pStyle w:val="Attribution"/>
      </w:pPr>
      <w:r>
        <w:rPr>
          <w:rFonts w:ascii="Garamond" w:hAnsi="Garamond"/>
          <w:b w:val="0"/>
          <w:i w:val="0"/>
        </w:rPr>
        <w:t>— St. John Henry Newman</w:t>
      </w:r>
    </w:p>
    <w:p>
      <w:pPr>
        <w:pStyle w:val="Section"/>
      </w:pPr>
      <w:r>
        <w:rPr>
          <w:rFonts w:ascii="Garamond" w:hAnsi="Garamond"/>
          <w:b w:val="0"/>
          <w:i w:val="0"/>
        </w:rPr>
        <w:t>Back to St. Patrick</w:t>
      </w:r>
    </w:p>
    <w:p>
      <w:pPr/>
      <w:r>
        <w:rPr>
          <w:rFonts w:ascii="Garamond" w:hAnsi="Garamond"/>
          <w:b w:val="0"/>
          <w:i w:val="0"/>
        </w:rPr>
        <w:t>This last of our chapters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teaching them to observe all that I have commanded you; and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pStyle w:val="Section"/>
      </w:pPr>
      <w:r>
        <w:rPr>
          <w:rFonts w:ascii="Garamond" w:hAnsi="Garamond"/>
          <w:b w:val="0"/>
          <w:i w:val="0"/>
        </w:rPr>
        <w:t>Missa est: "it has been sent"</w:t>
      </w:r>
    </w:p>
    <w:p>
      <w:pPr/>
      <w:r>
        <w:rPr>
          <w:rFonts w:ascii="Garamond" w:hAnsi="Garamond"/>
          <w:b w:val="0"/>
          <w:i w:val="0"/>
        </w:rPr>
        <w:t>At the end of every Mass, it is said: "Go forth." In some way or other — "Go forth, the Mass has ended." "Go and announce the Gospel of the Lord" — whatever variation it is, there is a going forth.</w:t>
      </w:r>
    </w:p>
    <w:p>
      <w:pPr/>
      <w:r>
        <w:rPr>
          <w:rFonts w:ascii="Garamond" w:hAnsi="Garamond"/>
          <w:b w:val="0"/>
          <w:i w:val="0"/>
        </w:rPr>
        <w:t xml:space="preserve">In the older form of the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Fr.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men revile you and persecute you and utter all kinds of evil against you falsely on my account."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bought my first brown scapular and was invested.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Do not ask me how I know. I thought a welding lens was sufficient. The engineering worldview is not sufficient in itself.</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You look up at the moon and the stars — those things do not matter to you. Those are things to be analyzed and measured. We never see the other side of the moon, because it is tidally locked. We can study all of these things.</w:t>
      </w:r>
    </w:p>
    <w:p>
      <w:pPr/>
      <w:r>
        <w:rPr>
          <w:rFonts w:ascii="Garamond" w:hAnsi="Garamond"/>
          <w:b w:val="0"/>
          <w:i w:val="0"/>
        </w:rPr>
        <w:t>Recall the story of Elisabeth and the moon. For such a child, the moon involved her. She was implicated in it. It is as if the moon cared for her and went with her. Physically, she was wrong. But in the greater sense — mysteriously — she was right. The stars involve us. The moon cares about us.</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in the orans position. You might think of someone talking about liturgy as something where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In systems engineering, a feedback loop is where an output is fed into its own input. There are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Quotations follow the editions noted below. Scripture quotations follow the Revised Standard Version, Second Catholic Edition (Ignatius Press, 2006); a few verses retain the wording as spoken.</w:t>
      </w:r>
    </w:p>
    <w:p>
      <w:pPr>
        <w:pStyle w:val="Section"/>
      </w:pPr>
      <w:r>
        <w:rPr>
          <w:rFonts w:ascii="Garamond" w:hAnsi="Garamond"/>
          <w:b w:val="0"/>
          <w:i w:val="0"/>
        </w:rPr>
        <w:t>Chapter 1 — Icons of the Trinity</w:t>
      </w:r>
    </w:p>
    <w:p>
      <w:pPr/>
      <w:r>
        <w:rPr>
          <w:rFonts w:ascii="Garamond" w:hAnsi="Garamond"/>
          <w:b w:val="0"/>
          <w:i w:val="0"/>
        </w:rPr>
        <w:t xml:space="preserve">St. Patrick, </w:t>
      </w:r>
      <w:r>
        <w:rPr>
          <w:rFonts w:ascii="Garamond" w:hAnsi="Garamond"/>
          <w:b w:val="0"/>
          <w:i/>
        </w:rPr>
        <w:t>St Patrick’s Breastplate</w:t>
      </w:r>
      <w:r>
        <w:rPr>
          <w:rFonts w:ascii="Garamond" w:hAnsi="Garamond"/>
          <w:b w:val="0"/>
          <w:i w:val="0"/>
        </w:rPr>
        <w:t xml:space="preserve">, 1889, Hymn, stanzas 1-2. St. Thérèse of Lisieux, </w:t>
      </w:r>
      <w:r>
        <w:rPr>
          <w:rFonts w:ascii="Garamond" w:hAnsi="Garamond"/>
          <w:b w:val="0"/>
          <w:i/>
        </w:rPr>
        <w:t>Story of a Soul</w:t>
      </w:r>
      <w:r>
        <w:rPr>
          <w:rFonts w:ascii="Garamond" w:hAnsi="Garamond"/>
          <w:b w:val="0"/>
          <w:i w:val="0"/>
        </w:rPr>
        <w:t>, 1993, CCC ¶2558.</w:t>
      </w:r>
    </w:p>
    <w:p>
      <w:pPr>
        <w:pStyle w:val="Section"/>
      </w:pPr>
      <w:r>
        <w:rPr>
          <w:rFonts w:ascii="Garamond" w:hAnsi="Garamond"/>
          <w:b w:val="0"/>
          <w:i w:val="0"/>
        </w:rPr>
        <w:t>Chapter 2 — Mystery</w:t>
      </w:r>
    </w:p>
    <w:p>
      <w:pPr/>
      <w:r>
        <w:rPr>
          <w:rFonts w:ascii="Garamond" w:hAnsi="Garamond"/>
          <w:b w:val="0"/>
          <w:i/>
        </w:rPr>
        <w:t>Catechism of the Catholic Church</w:t>
      </w:r>
      <w:r>
        <w:rPr>
          <w:rFonts w:ascii="Garamond" w:hAnsi="Garamond"/>
          <w:b w:val="0"/>
          <w:i w:val="0"/>
        </w:rPr>
        <w:t xml:space="preserve">, 1993, Part One, Section Two, Ch. 1, ¶234. St. John Henry Newman, </w:t>
      </w:r>
      <w:r>
        <w:rPr>
          <w:rFonts w:ascii="Garamond" w:hAnsi="Garamond"/>
          <w:b w:val="0"/>
          <w:i/>
        </w:rPr>
        <w:t>The Individuality of the Soul</w:t>
      </w:r>
      <w:r>
        <w:rPr>
          <w:rFonts w:ascii="Garamond" w:hAnsi="Garamond"/>
          <w:b w:val="0"/>
          <w:i w:val="0"/>
        </w:rPr>
        <w:t xml:space="preserve">, 1909, Vol. IV, Sermon VI, pp. 80-83. St. Elizabeth of the Trinity, </w:t>
      </w:r>
      <w:r>
        <w:rPr>
          <w:rFonts w:ascii="Garamond" w:hAnsi="Garamond"/>
          <w:b w:val="0"/>
          <w:i/>
        </w:rPr>
        <w:t>O My God, Trinity Whom I Adore</w:t>
      </w:r>
      <w:r>
        <w:rPr>
          <w:rFonts w:ascii="Garamond" w:hAnsi="Garamond"/>
          <w:b w:val="0"/>
          <w:i w:val="0"/>
        </w:rPr>
        <w:t xml:space="preserve">, 1993, CCC ¶260. Jacques Maritain, </w:t>
      </w:r>
      <w:r>
        <w:rPr>
          <w:rFonts w:ascii="Garamond" w:hAnsi="Garamond"/>
          <w:b w:val="0"/>
          <w:i/>
        </w:rPr>
        <w:t>A Preface to Metaphysics: Seven Lectures on Being</w:t>
      </w:r>
      <w:r>
        <w:rPr>
          <w:rFonts w:ascii="Garamond" w:hAnsi="Garamond"/>
          <w:b w:val="0"/>
          <w:i w:val="0"/>
        </w:rPr>
        <w:t xml:space="preserve">, 1939, printed p. ~172. Gabriel Marcel, </w:t>
      </w:r>
      <w:r>
        <w:rPr>
          <w:rFonts w:ascii="Garamond" w:hAnsi="Garamond"/>
          <w:b w:val="0"/>
          <w:i/>
        </w:rPr>
        <w:t>Being and Having</w:t>
      </w:r>
      <w:r>
        <w:rPr>
          <w:rFonts w:ascii="Garamond" w:hAnsi="Garamond"/>
          <w:b w:val="0"/>
          <w:i w:val="0"/>
        </w:rPr>
        <w:t xml:space="preserve">, 1949, pp. 116, 170-171 ('On the Ontological Mystery'); diary entry Feb. 2nd. Flannery O'Connor, </w:t>
      </w:r>
      <w:r>
        <w:rPr>
          <w:rFonts w:ascii="Garamond" w:hAnsi="Garamond"/>
          <w:b w:val="0"/>
          <w:i/>
        </w:rPr>
        <w:t>The Habit of Being: Letters of Flannery O'Connor, ed. Sally Fitzgerald</w:t>
      </w:r>
      <w:r>
        <w:rPr>
          <w:rFonts w:ascii="Garamond" w:hAnsi="Garamond"/>
          <w:b w:val="0"/>
          <w:i w:val="0"/>
        </w:rPr>
        <w:t>, 1979, Letter to Cecil Dawkins, 23 December 1959.</w:t>
      </w:r>
    </w:p>
    <w:p>
      <w:pPr>
        <w:pStyle w:val="Section"/>
      </w:pPr>
      <w:r>
        <w:rPr>
          <w:rFonts w:ascii="Garamond" w:hAnsi="Garamond"/>
          <w:b w:val="0"/>
          <w:i w:val="0"/>
        </w:rPr>
        <w:t>Chapter 3 — Gift and Liturgy</w:t>
      </w:r>
    </w:p>
    <w:p>
      <w:pPr/>
      <w:r>
        <w:rPr>
          <w:rFonts w:ascii="Garamond" w:hAnsi="Garamond"/>
          <w:b w:val="0"/>
          <w:i w:val="0"/>
        </w:rPr>
        <w:t xml:space="preserve">St. Thérèse of Lisieux, </w:t>
      </w:r>
      <w:r>
        <w:rPr>
          <w:rFonts w:ascii="Garamond" w:hAnsi="Garamond"/>
          <w:b w:val="0"/>
          <w:i/>
        </w:rPr>
        <w:t>Last Conversations</w:t>
      </w:r>
      <w:r>
        <w:rPr>
          <w:rFonts w:ascii="Garamond" w:hAnsi="Garamond"/>
          <w:b w:val="0"/>
          <w:i w:val="0"/>
        </w:rPr>
        <w:t xml:space="preserve">, 1952, entry dated 5 June 1897 in this edition. Luigi Giussani, </w:t>
      </w:r>
      <w:r>
        <w:rPr>
          <w:rFonts w:ascii="Garamond" w:hAnsi="Garamond"/>
          <w:b w:val="0"/>
          <w:i/>
        </w:rPr>
        <w:t>The Religious Sense</w:t>
      </w:r>
      <w:r>
        <w:rPr>
          <w:rFonts w:ascii="Garamond" w:hAnsi="Garamond"/>
          <w:b w:val="0"/>
          <w:i w:val="0"/>
        </w:rPr>
        <w:t xml:space="preserve">, 1997. Gabriel Marcel, </w:t>
      </w:r>
      <w:r>
        <w:rPr>
          <w:rFonts w:ascii="Garamond" w:hAnsi="Garamond"/>
          <w:b w:val="0"/>
          <w:i/>
        </w:rPr>
        <w:t>Being and Having</w:t>
      </w:r>
      <w:r>
        <w:rPr>
          <w:rFonts w:ascii="Garamond" w:hAnsi="Garamond"/>
          <w:b w:val="0"/>
          <w:i w:val="0"/>
        </w:rPr>
        <w:t xml:space="preserve">, 1949, Metaphysical Diary, Feb. 1931 and 22 Mar. 1931 entries. John Paul II, </w:t>
      </w:r>
      <w:r>
        <w:rPr>
          <w:rFonts w:ascii="Garamond" w:hAnsi="Garamond"/>
          <w:b w:val="0"/>
          <w:i/>
        </w:rPr>
        <w:t>Theology of the Body catecheses</w:t>
      </w:r>
      <w:r>
        <w:rPr>
          <w:rFonts w:ascii="Garamond" w:hAnsi="Garamond"/>
          <w:b w:val="0"/>
          <w:i w:val="0"/>
        </w:rPr>
        <w:t xml:space="preserve">, 1979, General Audience, 20 Feb 1980. St. Louis-Marie Grignion de Montfort, </w:t>
      </w:r>
      <w:r>
        <w:rPr>
          <w:rFonts w:ascii="Garamond" w:hAnsi="Garamond"/>
          <w:b w:val="0"/>
          <w:i/>
        </w:rPr>
        <w:t>True Devotion to the Blessed Virgin Mary</w:t>
      </w:r>
      <w:r>
        <w:rPr>
          <w:rFonts w:ascii="Garamond" w:hAnsi="Garamond"/>
          <w:b w:val="0"/>
          <w:i w:val="0"/>
        </w:rPr>
        <w:t xml:space="preserve">, 1863, p. 87. Bruce Marshall, </w:t>
      </w:r>
      <w:r>
        <w:rPr>
          <w:rFonts w:ascii="Garamond" w:hAnsi="Garamond"/>
          <w:b w:val="0"/>
          <w:i/>
        </w:rPr>
        <w:t>The World, the Flesh, and Father Smith</w:t>
      </w:r>
      <w:r>
        <w:rPr>
          <w:rFonts w:ascii="Garamond" w:hAnsi="Garamond"/>
          <w:b w:val="0"/>
          <w:i w:val="0"/>
        </w:rPr>
        <w:t>, 1945, p. 108.</w:t>
      </w:r>
    </w:p>
    <w:p>
      <w:pPr>
        <w:pStyle w:val="Section"/>
      </w:pPr>
      <w:r>
        <w:rPr>
          <w:rFonts w:ascii="Garamond" w:hAnsi="Garamond"/>
          <w:b w:val="0"/>
          <w:i w:val="0"/>
        </w:rPr>
        <w:t>Chapter 4 — Relationship</w:t>
      </w:r>
    </w:p>
    <w:p>
      <w:pPr/>
      <w:r>
        <w:rPr>
          <w:rFonts w:ascii="Garamond" w:hAnsi="Garamond"/>
          <w:b w:val="0"/>
          <w:i w:val="0"/>
        </w:rPr>
        <w:t xml:space="preserve">Pope Benedict XVI, </w:t>
      </w:r>
      <w:r>
        <w:rPr>
          <w:rFonts w:ascii="Garamond" w:hAnsi="Garamond"/>
          <w:b w:val="0"/>
          <w:i/>
        </w:rPr>
        <w:t>Sermon</w:t>
      </w:r>
      <w:r>
        <w:rPr>
          <w:rFonts w:ascii="Garamond" w:hAnsi="Garamond"/>
          <w:b w:val="0"/>
          <w:i w:val="0"/>
        </w:rPr>
        <w:t xml:space="preserve">, 2005, Homily, Mass for the inauguration of the Pontificate, St. Peter's Square, 24 April 2005. </w:t>
      </w:r>
      <w:r>
        <w:rPr>
          <w:rFonts w:ascii="Garamond" w:hAnsi="Garamond"/>
          <w:b w:val="0"/>
          <w:i/>
        </w:rPr>
        <w:t>Catechism of the Catholic Church</w:t>
      </w:r>
      <w:r>
        <w:rPr>
          <w:rFonts w:ascii="Garamond" w:hAnsi="Garamond"/>
          <w:b w:val="0"/>
          <w:i w:val="0"/>
        </w:rPr>
        <w:t xml:space="preserve">, 1993, Part Four, Section Two, Article 3, ¶2845. St. John Henry Newman, </w:t>
      </w:r>
      <w:r>
        <w:rPr>
          <w:rFonts w:ascii="Garamond" w:hAnsi="Garamond"/>
          <w:b w:val="0"/>
          <w:i/>
        </w:rPr>
        <w:t>Meditations and Devotions, Part II, “Short Meditations on the Stations of the Cross”, Fifth Station</w:t>
      </w:r>
      <w:r>
        <w:rPr>
          <w:rFonts w:ascii="Garamond" w:hAnsi="Garamond"/>
          <w:b w:val="0"/>
          <w:i w:val="0"/>
        </w:rPr>
        <w:t>, 1893, Part II, Short Meditations on the Stations of the Cross, Fifth Station.</w:t>
      </w:r>
    </w:p>
    <w:p>
      <w:pPr>
        <w:pStyle w:val="Section"/>
      </w:pPr>
      <w:r>
        <w:rPr>
          <w:rFonts w:ascii="Garamond" w:hAnsi="Garamond"/>
          <w:b w:val="0"/>
          <w:i w:val="0"/>
        </w:rPr>
        <w:t>Chapter 5 — Intimacy</w:t>
      </w:r>
    </w:p>
    <w:p>
      <w:pPr/>
      <w:r>
        <w:rPr>
          <w:rFonts w:ascii="Garamond" w:hAnsi="Garamond"/>
          <w:b w:val="0"/>
          <w:i w:val="0"/>
        </w:rPr>
        <w:t xml:space="preserve">St. Augustine, </w:t>
      </w:r>
      <w:r>
        <w:rPr>
          <w:rFonts w:ascii="Garamond" w:hAnsi="Garamond"/>
          <w:b w:val="0"/>
          <w:i/>
        </w:rPr>
        <w:t>Confessions III.6.11</w:t>
      </w:r>
      <w:r>
        <w:rPr>
          <w:rFonts w:ascii="Garamond" w:hAnsi="Garamond"/>
          <w:b w:val="0"/>
          <w:i w:val="0"/>
        </w:rPr>
        <w:t xml:space="preserve">. Christopher West, </w:t>
      </w:r>
      <w:r>
        <w:rPr>
          <w:rFonts w:ascii="Garamond" w:hAnsi="Garamond"/>
          <w:b w:val="0"/>
          <w:i/>
        </w:rPr>
        <w:t>Good News About Sex and Marriage</w:t>
      </w:r>
      <w:r>
        <w:rPr>
          <w:rFonts w:ascii="Garamond" w:hAnsi="Garamond"/>
          <w:b w:val="0"/>
          <w:i w:val="0"/>
        </w:rPr>
        <w:t xml:space="preserve">, 2000, p. 198 (2000); p. 206 (2004 rev.); p. 558. Dante Alighieri, </w:t>
      </w:r>
      <w:r>
        <w:rPr>
          <w:rFonts w:ascii="Garamond" w:hAnsi="Garamond"/>
          <w:b w:val="0"/>
          <w:i/>
        </w:rPr>
        <w:t>La Divina Commedia, Paradiso, Canto XXXIII, line 145</w:t>
      </w:r>
      <w:r>
        <w:rPr>
          <w:rFonts w:ascii="Garamond" w:hAnsi="Garamond"/>
          <w:b w:val="0"/>
          <w:i w:val="0"/>
        </w:rPr>
        <w:t>, 1867, Paradiso XXXIII.145.</w:t>
      </w:r>
    </w:p>
    <w:p>
      <w:pPr>
        <w:pStyle w:val="Section"/>
      </w:pPr>
      <w:r>
        <w:rPr>
          <w:rFonts w:ascii="Garamond" w:hAnsi="Garamond"/>
          <w:b w:val="0"/>
          <w:i w:val="0"/>
        </w:rPr>
        <w:t>Chapter 6 — Evangelization</w:t>
      </w:r>
    </w:p>
    <w:p>
      <w:pPr/>
      <w:r>
        <w:rPr>
          <w:rFonts w:ascii="Garamond" w:hAnsi="Garamond"/>
          <w:b w:val="0"/>
          <w:i/>
        </w:rPr>
        <w:t>Code of Canon Law</w:t>
      </w:r>
      <w:r>
        <w:rPr>
          <w:rFonts w:ascii="Garamond" w:hAnsi="Garamond"/>
          <w:b w:val="0"/>
          <w:i w:val="0"/>
        </w:rPr>
        <w:t xml:space="preserve">, 1983, Book II, Title II, Can. 225 §1. </w:t>
      </w:r>
      <w:r>
        <w:rPr>
          <w:rFonts w:ascii="Garamond" w:hAnsi="Garamond"/>
          <w:b w:val="0"/>
          <w:i/>
        </w:rPr>
        <w:t>Code of Canon Law</w:t>
      </w:r>
      <w:r>
        <w:rPr>
          <w:rFonts w:ascii="Garamond" w:hAnsi="Garamond"/>
          <w:b w:val="0"/>
          <w:i w:val="0"/>
        </w:rPr>
        <w:t xml:space="preserve">, 1983, Book III, Title II, Can. 781. St. Athanasius, </w:t>
      </w:r>
      <w:r>
        <w:rPr>
          <w:rFonts w:ascii="Garamond" w:hAnsi="Garamond"/>
          <w:b w:val="0"/>
          <w:i/>
        </w:rPr>
        <w:t>On the Incarnation of the Word, ch. 54 §3</w:t>
      </w:r>
      <w:r>
        <w:rPr>
          <w:rFonts w:ascii="Garamond" w:hAnsi="Garamond"/>
          <w:b w:val="0"/>
          <w:i w:val="0"/>
        </w:rPr>
        <w:t>, 1892, De Incarnatione 54.3 (PG 25, 192B); CCC ¶460 + fn. 80.</w:t>
      </w:r>
    </w:p>
    <w:p>
      <w:pPr>
        <w:pStyle w:val="Section"/>
      </w:pPr>
      <w:r>
        <w:rPr>
          <w:rFonts w:ascii="Garamond" w:hAnsi="Garamond"/>
          <w:b w:val="0"/>
          <w:i w:val="0"/>
        </w:rPr>
        <w:t>Epilogue — Engineering Mystery</w:t>
      </w:r>
    </w:p>
    <w:p>
      <w:pPr/>
      <w:r>
        <w:rPr>
          <w:rFonts w:ascii="Garamond" w:hAnsi="Garamond"/>
          <w:b w:val="0"/>
          <w:i w:val="0"/>
        </w:rPr>
        <w:t xml:space="preserve">G.K. Chesterton, </w:t>
      </w:r>
      <w:r>
        <w:rPr>
          <w:rFonts w:ascii="Garamond" w:hAnsi="Garamond"/>
          <w:b w:val="0"/>
          <w:i/>
        </w:rPr>
        <w:t>What's Wrong with the World</w:t>
      </w:r>
      <w:r>
        <w:rPr>
          <w:rFonts w:ascii="Garamond" w:hAnsi="Garamond"/>
          <w:b w:val="0"/>
          <w:i w:val="0"/>
        </w:rPr>
        <w:t xml:space="preserve">, 1910, Part IV, ch. XIV, 'Folly and Female Education', closing paragraph. St. Augustine, </w:t>
      </w:r>
      <w:r>
        <w:rPr>
          <w:rFonts w:ascii="Garamond" w:hAnsi="Garamond"/>
          <w:b w:val="0"/>
          <w:i/>
        </w:rPr>
        <w:t>Confessions X.27.38</w:t>
      </w:r>
      <w:r>
        <w:rPr>
          <w:rFonts w:ascii="Garamond" w:hAnsi="Garamond"/>
          <w:b w:val="0"/>
          <w:i w:val="0"/>
        </w:rPr>
        <w:t xml:space="preserve">, 1975. St. Augustine, </w:t>
      </w:r>
      <w:r>
        <w:rPr>
          <w:rFonts w:ascii="Garamond" w:hAnsi="Garamond"/>
          <w:b w:val="0"/>
          <w:i/>
        </w:rPr>
        <w:t>Confessions I.1.1</w:t>
      </w:r>
      <w:r>
        <w:rPr>
          <w:rFonts w:ascii="Garamond" w:hAnsi="Garamond"/>
          <w:b w:val="0"/>
          <w:i w:val="0"/>
        </w:rPr>
        <w:t xml:space="preserve">, 1975. Second Vatican Council, </w:t>
      </w:r>
      <w:r>
        <w:rPr>
          <w:rFonts w:ascii="Garamond" w:hAnsi="Garamond"/>
          <w:b w:val="0"/>
          <w:i/>
        </w:rPr>
        <w:t>Gaudium et spes, §24</w:t>
      </w:r>
      <w:r>
        <w:rPr>
          <w:rFonts w:ascii="Garamond" w:hAnsi="Garamond"/>
          <w:b w:val="0"/>
          <w:i w:val="0"/>
        </w:rPr>
        <w:t xml:space="preserve">, 1965, Part I, Ch. II, §24. St. John of the Cross, </w:t>
      </w:r>
      <w:r>
        <w:rPr>
          <w:rFonts w:ascii="Garamond" w:hAnsi="Garamond"/>
          <w:b w:val="0"/>
          <w:i/>
        </w:rPr>
        <w:t>Counsels of Light and Love</w:t>
      </w:r>
      <w:r>
        <w:rPr>
          <w:rFonts w:ascii="Garamond" w:hAnsi="Garamond"/>
          <w:b w:val="0"/>
          <w:i w:val="0"/>
        </w:rPr>
        <w:t xml:space="preserve">, 2007, saying no. 100, p. 106. St. Thérèse of Lisieux, </w:t>
      </w:r>
      <w:r>
        <w:rPr>
          <w:rFonts w:ascii="Garamond" w:hAnsi="Garamond"/>
          <w:b w:val="0"/>
          <w:i/>
        </w:rPr>
        <w:t>Last Conversations</w:t>
      </w:r>
      <w:r>
        <w:rPr>
          <w:rFonts w:ascii="Garamond" w:hAnsi="Garamond"/>
          <w:b w:val="0"/>
          <w:i w:val="0"/>
        </w:rPr>
        <w:t xml:space="preserve">, 1952, section 'Again about the manuscript of her Autobiography'. St. John Henry Newman, </w:t>
      </w:r>
      <w:r>
        <w:rPr>
          <w:rFonts w:ascii="Garamond" w:hAnsi="Garamond"/>
          <w:b w:val="0"/>
          <w:i/>
        </w:rPr>
        <w:t>Apologia pro Vita Sua</w:t>
      </w:r>
      <w:r>
        <w:rPr>
          <w:rFonts w:ascii="Garamond" w:hAnsi="Garamond"/>
          <w:b w:val="0"/>
          <w:i w:val="0"/>
        </w:rPr>
        <w:t xml:space="preserve">, 1864, Part I, ch. 1. St. John Henry Newman, </w:t>
      </w:r>
      <w:r>
        <w:rPr>
          <w:rFonts w:ascii="Garamond" w:hAnsi="Garamond"/>
          <w:b w:val="0"/>
          <w:i/>
        </w:rPr>
        <w:t>'Watching', Parochial and Plain Sermons vol. IV, sermon 22</w:t>
      </w:r>
      <w:r>
        <w:rPr>
          <w:rFonts w:ascii="Garamond" w:hAnsi="Garamond"/>
          <w:b w:val="0"/>
          <w:i w:val="0"/>
        </w:rPr>
        <w:t xml:space="preserve">, 1839. Jean-Baptiste Chautard, OCSO, </w:t>
      </w:r>
      <w:r>
        <w:rPr>
          <w:rFonts w:ascii="Garamond" w:hAnsi="Garamond"/>
          <w:b w:val="0"/>
          <w:i/>
        </w:rPr>
        <w:t>The Soul of the Apostolate</w:t>
      </w:r>
      <w:r>
        <w:rPr>
          <w:rFonts w:ascii="Garamond" w:hAnsi="Garamond"/>
          <w:b w:val="0"/>
          <w:i w:val="0"/>
        </w:rPr>
        <w:t xml:space="preserve">, 1946, Sixth-Eighth Truths, pp. 15-19; ch. heading p. 267. St. Augustine, </w:t>
      </w:r>
      <w:r>
        <w:rPr>
          <w:rFonts w:ascii="Garamond" w:hAnsi="Garamond"/>
          <w:b w:val="0"/>
          <w:i/>
        </w:rPr>
        <w:t>Confessions</w:t>
      </w:r>
      <w:r>
        <w:rPr>
          <w:rFonts w:ascii="Garamond" w:hAnsi="Garamond"/>
          <w:b w:val="0"/>
          <w:i w:val="0"/>
        </w:rPr>
        <w:t xml:space="preserve"> X.41.66. The 'deepest wound' passage is a modern paraphrase of this text; the speaker's hedge is retained.</w:t>
      </w:r>
    </w:p>
    <w:p>
      <w:pPr>
        <w:pStyle w:val="Section"/>
      </w:pPr>
      <w:r>
        <w:rPr>
          <w:rFonts w:ascii="Garamond" w:hAnsi="Garamond"/>
          <w:b w:val="0"/>
          <w:i w:val="0"/>
        </w:rPr>
        <w:t>General</w:t>
      </w:r>
    </w:p>
    <w:p>
      <w:pPr>
        <w:pStyle w:val="Section"/>
      </w:pPr>
      <w:r>
        <w:rPr>
          <w:rFonts w:ascii="Garamond" w:hAnsi="Garamond"/>
          <w:b w:val="0"/>
          <w:i w:val="0"/>
        </w:rPr>
        <w:t>Translations</w:t>
      </w:r>
    </w:p>
    <w:p>
      <w:pPr/>
      <w:r>
        <w:rPr>
          <w:rFonts w:ascii="Garamond" w:hAnsi="Garamond"/>
          <w:b w:val="0"/>
          <w:i w:val="0"/>
        </w:rPr>
        <w:t xml:space="preserve">The prayers from St. Augustine's </w:t>
      </w:r>
      <w:r>
        <w:rPr>
          <w:rFonts w:ascii="Garamond" w:hAnsi="Garamond"/>
          <w:b w:val="0"/>
          <w:i/>
        </w:rPr>
        <w:t>Confessions</w:t>
      </w:r>
      <w:r>
        <w:rPr>
          <w:rFonts w:ascii="Garamond" w:hAnsi="Garamond"/>
          <w:b w:val="0"/>
          <w:i w:val="0"/>
        </w:rPr>
        <w:t xml:space="preserve"> use E. B. Pusey's public-domain translation. The closing line of Dante's </w:t>
      </w:r>
      <w:r>
        <w:rPr>
          <w:rFonts w:ascii="Garamond" w:hAnsi="Garamond"/>
          <w:b w:val="0"/>
          <w:i/>
        </w:rPr>
        <w:t>Paradiso</w:t>
      </w:r>
      <w:r>
        <w:rPr>
          <w:rFonts w:ascii="Garamond" w:hAnsi="Garamond"/>
          <w:b w:val="0"/>
          <w:i w:val="0"/>
        </w:rPr>
        <w:t xml:space="preserve"> is Henry Wadsworth Longfellow's 1867 translation.</w:t>
      </w:r>
    </w:p>
    <w:p>
      <w:pPr>
        <w:pStyle w:val="Section"/>
      </w:pPr>
      <w:r>
        <w:rPr>
          <w:rFonts w:ascii="Garamond" w:hAnsi="Garamond"/>
          <w:b w:val="0"/>
          <w:i w:val="0"/>
        </w:rPr>
        <w:t>Icon</w:t>
      </w:r>
    </w:p>
    <w:p>
      <w:pPr/>
      <w:r>
        <w:rPr>
          <w:rFonts w:ascii="Garamond" w:hAnsi="Garamond"/>
          <w:b w:val="0"/>
          <w:i w:val="0"/>
        </w:rPr>
        <w:t xml:space="preserve">The cover art is Andrei Rublev's </w:t>
      </w:r>
      <w:r>
        <w:rPr>
          <w:rFonts w:ascii="Garamond" w:hAnsi="Garamond"/>
          <w:b w:val="0"/>
          <w:i/>
        </w:rPr>
        <w:t>The Trinity</w:t>
      </w:r>
      <w:r>
        <w:rPr>
          <w:rFonts w:ascii="Garamond" w:hAnsi="Garamond"/>
          <w:b w:val="0"/>
          <w:i w:val="0"/>
        </w:rPr>
        <w:t xml:space="preserve"> (c. 1411 or 1425–1427), State Tretyakov Gallery, Moscow.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