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8"/>
        </w:rPr>
        <w:t>Subscription Revenue Integration</w:t>
      </w:r>
    </w:p>
    <w:p>
      <w:r>
        <w:rPr>
          <w:color w:val="555555"/>
          <w:sz w:val="26"/>
        </w:rPr>
        <w:t>System Design Challenge and Walkthrough</w:t>
      </w:r>
    </w:p>
    <w:p>
      <w:pPr>
        <w:spacing w:after="120"/>
      </w:pPr>
      <w:r>
        <w:rPr>
          <w:b w:val="0"/>
          <w:i/>
          <w:color w:val="555555"/>
        </w:rPr>
        <w:t>Designing a monthly revenue waterfall, a charge-level subledger, and balanced journal entries from warehouse billing events.</w:t>
      </w:r>
    </w:p>
    <w:p>
      <w:pPr>
        <w:shd w:val="clear" w:color="auto" w:fill="FBF4E6"/>
        <w:pBdr>
          <w:left w:val="single" w:sz="4" w:space="6" w:color="B8860B"/>
        </w:pBdr>
        <w:spacing w:before="80" w:after="160"/>
        <w:ind w:left="173"/>
      </w:pPr>
      <w:r>
        <w:rPr>
          <w:b/>
          <w:color w:val="1F4E79"/>
        </w:rPr>
        <w:t xml:space="preserve">How to use this document.  </w:t>
      </w:r>
      <w:r>
        <w:rPr>
          <w:color w:val="1A1A1A"/>
        </w:rPr>
        <w:t>Suggested time is 45 to 50 minutes for the core design and 15 minutes for the framework follow-up. Discussion and SQL pseudocode are enough. Ask questions and state assumptions as you go.</w:t>
      </w:r>
    </w:p>
    <w:p>
      <w:pPr>
        <w:pBdr>
          <w:top w:val="single" w:sz="6" w:space="6" w:color="C9D2E0"/>
          <w:left w:val="single" w:sz="6" w:space="6" w:color="C9D2E0"/>
          <w:bottom w:val="single" w:sz="6" w:space="6" w:color="C9D2E0"/>
          <w:right w:val="single" w:sz="6" w:space="6" w:color="C9D2E0"/>
        </w:pBdr>
        <w:spacing w:after="160"/>
      </w:pPr>
    </w:p>
    <w:p>
      <w:pPr>
        <w:pStyle w:val="Heading2"/>
      </w:pPr>
      <w:r>
        <w:t>Contents</w:t>
      </w:r>
    </w:p>
    <w:p>
      <w:pPr>
        <w:spacing w:after="20"/>
      </w:pPr>
      <w:r>
        <w:rPr>
          <w:sz w:val="21"/>
        </w:rPr>
        <w:t>1.  The design challenge</w:t>
      </w:r>
    </w:p>
    <w:p>
      <w:pPr>
        <w:spacing w:after="20"/>
      </w:pPr>
      <w:r>
        <w:rPr>
          <w:sz w:val="21"/>
        </w:rPr>
        <w:t>2.  The accounting objective</w:t>
      </w:r>
    </w:p>
    <w:p>
      <w:pPr>
        <w:spacing w:after="20"/>
      </w:pPr>
      <w:r>
        <w:rPr>
          <w:sz w:val="21"/>
        </w:rPr>
        <w:t>3.  A worked accounting example</w:t>
      </w:r>
    </w:p>
    <w:p>
      <w:pPr>
        <w:spacing w:after="20"/>
      </w:pPr>
      <w:r>
        <w:rPr>
          <w:sz w:val="21"/>
        </w:rPr>
        <w:t>4.  The three required outputs</w:t>
      </w:r>
    </w:p>
    <w:p>
      <w:pPr>
        <w:spacing w:after="20"/>
      </w:pPr>
      <w:r>
        <w:rPr>
          <w:sz w:val="21"/>
        </w:rPr>
        <w:t>5.  End-to-end data flow</w:t>
      </w:r>
    </w:p>
    <w:p>
      <w:pPr>
        <w:spacing w:after="20"/>
      </w:pPr>
      <w:r>
        <w:rPr>
          <w:sz w:val="21"/>
        </w:rPr>
        <w:t>6.  More worked examples</w:t>
      </w:r>
    </w:p>
    <w:p>
      <w:pPr>
        <w:spacing w:after="20"/>
      </w:pPr>
      <w:r>
        <w:rPr>
          <w:sz w:val="21"/>
        </w:rPr>
        <w:t>7.  Replays, late events, and corrections</w:t>
      </w:r>
    </w:p>
    <w:p>
      <w:pPr>
        <w:spacing w:after="20"/>
      </w:pPr>
      <w:r>
        <w:rPr>
          <w:sz w:val="21"/>
        </w:rPr>
        <w:t>8.  Reconciliation and posting controls</w:t>
      </w:r>
    </w:p>
    <w:p>
      <w:pPr>
        <w:spacing w:after="20"/>
      </w:pPr>
      <w:r>
        <w:rPr>
          <w:sz w:val="21"/>
        </w:rPr>
        <w:t>9.  The Campfire upload workflow</w:t>
      </w:r>
    </w:p>
    <w:p>
      <w:pPr>
        <w:spacing w:after="20"/>
      </w:pPr>
      <w:r>
        <w:rPr>
          <w:sz w:val="21"/>
        </w:rPr>
        <w:t>10.  Choosing a processing model</w:t>
      </w:r>
    </w:p>
    <w:p>
      <w:pPr>
        <w:spacing w:after="20"/>
      </w:pPr>
      <w:r>
        <w:rPr>
          <w:sz w:val="21"/>
        </w:rPr>
        <w:t>11.  A reusable multi-customer framework</w:t>
      </w:r>
    </w:p>
    <w:p>
      <w:pPr>
        <w:spacing w:after="20"/>
      </w:pPr>
      <w:r>
        <w:rPr>
          <w:sz w:val="21"/>
        </w:rPr>
        <w:t>12.  A concise interview summary</w:t>
      </w:r>
    </w:p>
    <w:p>
      <w:pPr>
        <w:pBdr>
          <w:top w:val="single" w:sz="6" w:space="6" w:color="C9D2E0"/>
          <w:left w:val="single" w:sz="6" w:space="6" w:color="C9D2E0"/>
          <w:bottom w:val="single" w:sz="6" w:space="6" w:color="C9D2E0"/>
          <w:right w:val="single" w:sz="6" w:space="6" w:color="C9D2E0"/>
        </w:pBdr>
        <w:spacing w:after="160"/>
      </w:pPr>
    </w:p>
    <w:p>
      <w:pPr>
        <w:pStyle w:val="Heading1"/>
      </w:pPr>
      <w:r>
        <w:t>1. The design challenge</w:t>
      </w:r>
    </w:p>
    <w:p>
      <w:pPr>
        <w:spacing w:after="120"/>
      </w:pPr>
      <w:r>
        <w:rPr>
          <w:b w:val="0"/>
          <w:i w:val="0"/>
        </w:rPr>
        <w:t>A customer sells subscriptions. Its data team exposes a warehouse view of billing events. Campfire needs three things from that view: a monthly subscription revenue waterfall, a charge-level subledger, and balanced summary journal entries. Finance must be able to trace every journal total back to the source events and explain how much was billed, earned, and left deferred in each month.</w:t>
      </w:r>
    </w:p>
    <w:p>
      <w:pPr>
        <w:spacing w:after="120"/>
      </w:pPr>
      <w:r>
        <w:rPr>
          <w:b w:val="0"/>
          <w:i w:val="0"/>
        </w:rPr>
        <w:t>You own the first version of this integration. A finance stakeholder and the source-view owner are available to answer questions. The source may replay rows, correct older events, or deliver data late. The customer will eventually operate across multiple entities, currencies, and products.</w:t>
      </w:r>
    </w:p>
    <w:p>
      <w:pPr>
        <w:pStyle w:val="Heading3"/>
      </w:pPr>
      <w:r>
        <w:t>The source view</w:t>
      </w:r>
    </w:p>
    <w:p>
      <w:pPr>
        <w:spacing w:after="120"/>
      </w:pPr>
      <w:r>
        <w:rPr>
          <w:b w:val="0"/>
          <w:i w:val="0"/>
        </w:rPr>
        <w:t>All sample rows are USD for a single legal entity. The real view also carries timestamps and a source update time. Each billing event has these fields:</w:t>
      </w:r>
    </w:p>
    <w:tbl>
      <w:tblPr>
        <w:tblStyle w:val="LightGrid-Accent1"/>
        <w:tblW w:type="auto" w:w="0"/>
        <w:jc w:val="left"/>
        <w:tblLook w:firstColumn="1" w:firstRow="1" w:lastColumn="0" w:lastRow="0" w:noHBand="0" w:noVBand="1" w:val="04A0"/>
      </w:tblPr>
      <w:tblGrid>
        <w:gridCol w:w="4320"/>
        <w:gridCol w:w="4320"/>
      </w:tblGrid>
      <w:tr>
        <w:tc>
          <w:tcPr>
            <w:tcW w:type="dxa" w:w="2592"/>
          </w:tcPr>
          <w:p>
            <w:r/>
            <w:r>
              <w:rPr>
                <w:b/>
                <w:sz w:val="20"/>
              </w:rPr>
              <w:t>Field</w:t>
            </w:r>
          </w:p>
        </w:tc>
        <w:tc>
          <w:tcPr>
            <w:tcW w:type="dxa" w:w="6048"/>
          </w:tcPr>
          <w:p>
            <w:r/>
            <w:r>
              <w:rPr>
                <w:b/>
                <w:sz w:val="20"/>
              </w:rPr>
              <w:t>Meaning</w:t>
            </w:r>
          </w:p>
        </w:tc>
      </w:tr>
      <w:tr>
        <w:tc>
          <w:tcPr>
            <w:tcW w:type="dxa" w:w="2592"/>
          </w:tcPr>
          <w:p>
            <w:r/>
            <w:r>
              <w:rPr>
                <w:sz w:val="20"/>
              </w:rPr>
              <w:t>source_event_id</w:t>
            </w:r>
          </w:p>
        </w:tc>
        <w:tc>
          <w:tcPr>
            <w:tcW w:type="dxa" w:w="6048"/>
          </w:tcPr>
          <w:p>
            <w:r/>
            <w:r>
              <w:rPr>
                <w:sz w:val="20"/>
              </w:rPr>
              <w:t>Stable identifier for one source event</w:t>
            </w:r>
          </w:p>
        </w:tc>
      </w:tr>
      <w:tr>
        <w:tc>
          <w:tcPr>
            <w:tcW w:type="dxa" w:w="2592"/>
          </w:tcPr>
          <w:p>
            <w:r/>
            <w:r>
              <w:rPr>
                <w:sz w:val="20"/>
              </w:rPr>
              <w:t>subscription_id</w:t>
            </w:r>
          </w:p>
        </w:tc>
        <w:tc>
          <w:tcPr>
            <w:tcW w:type="dxa" w:w="6048"/>
          </w:tcPr>
          <w:p>
            <w:r/>
            <w:r>
              <w:rPr>
                <w:sz w:val="20"/>
              </w:rPr>
              <w:t>The subscription the charge belongs to</w:t>
            </w:r>
          </w:p>
        </w:tc>
      </w:tr>
      <w:tr>
        <w:tc>
          <w:tcPr>
            <w:tcW w:type="dxa" w:w="2592"/>
          </w:tcPr>
          <w:p>
            <w:r/>
            <w:r>
              <w:rPr>
                <w:sz w:val="20"/>
              </w:rPr>
              <w:t>entity</w:t>
            </w:r>
          </w:p>
        </w:tc>
        <w:tc>
          <w:tcPr>
            <w:tcW w:type="dxa" w:w="6048"/>
          </w:tcPr>
          <w:p>
            <w:r/>
            <w:r>
              <w:rPr>
                <w:sz w:val="20"/>
              </w:rPr>
              <w:t>Legal entity that owns the revenue</w:t>
            </w:r>
          </w:p>
        </w:tc>
      </w:tr>
      <w:tr>
        <w:tc>
          <w:tcPr>
            <w:tcW w:type="dxa" w:w="2592"/>
          </w:tcPr>
          <w:p>
            <w:r/>
            <w:r>
              <w:rPr>
                <w:sz w:val="20"/>
              </w:rPr>
              <w:t>currency</w:t>
            </w:r>
          </w:p>
        </w:tc>
        <w:tc>
          <w:tcPr>
            <w:tcW w:type="dxa" w:w="6048"/>
          </w:tcPr>
          <w:p>
            <w:r/>
            <w:r>
              <w:rPr>
                <w:sz w:val="20"/>
              </w:rPr>
              <w:t>Currency of the amount</w:t>
            </w:r>
          </w:p>
        </w:tc>
      </w:tr>
      <w:tr>
        <w:tc>
          <w:tcPr>
            <w:tcW w:type="dxa" w:w="2592"/>
          </w:tcPr>
          <w:p>
            <w:r/>
            <w:r>
              <w:rPr>
                <w:sz w:val="20"/>
              </w:rPr>
              <w:t>event_type</w:t>
            </w:r>
          </w:p>
        </w:tc>
        <w:tc>
          <w:tcPr>
            <w:tcW w:type="dxa" w:w="6048"/>
          </w:tcPr>
          <w:p>
            <w:r/>
            <w:r>
              <w:rPr>
                <w:sz w:val="20"/>
              </w:rPr>
              <w:t>What the row represents (for example a charge or refund)</w:t>
            </w:r>
          </w:p>
        </w:tc>
      </w:tr>
      <w:tr>
        <w:tc>
          <w:tcPr>
            <w:tcW w:type="dxa" w:w="2592"/>
          </w:tcPr>
          <w:p>
            <w:r/>
            <w:r>
              <w:rPr>
                <w:sz w:val="20"/>
              </w:rPr>
              <w:t>event_date</w:t>
            </w:r>
          </w:p>
        </w:tc>
        <w:tc>
          <w:tcPr>
            <w:tcW w:type="dxa" w:w="6048"/>
          </w:tcPr>
          <w:p>
            <w:r/>
            <w:r>
              <w:rPr>
                <w:sz w:val="20"/>
              </w:rPr>
              <w:t>Business date of the event</w:t>
            </w:r>
          </w:p>
        </w:tc>
      </w:tr>
      <w:tr>
        <w:tc>
          <w:tcPr>
            <w:tcW w:type="dxa" w:w="2592"/>
          </w:tcPr>
          <w:p>
            <w:r/>
            <w:r>
              <w:rPr>
                <w:sz w:val="20"/>
              </w:rPr>
              <w:t>product</w:t>
            </w:r>
          </w:p>
        </w:tc>
        <w:tc>
          <w:tcPr>
            <w:tcW w:type="dxa" w:w="6048"/>
          </w:tcPr>
          <w:p>
            <w:r/>
            <w:r>
              <w:rPr>
                <w:sz w:val="20"/>
              </w:rPr>
              <w:t>Product billed</w:t>
            </w:r>
          </w:p>
        </w:tc>
      </w:tr>
      <w:tr>
        <w:tc>
          <w:tcPr>
            <w:tcW w:type="dxa" w:w="2592"/>
          </w:tcPr>
          <w:p>
            <w:r/>
            <w:r>
              <w:rPr>
                <w:sz w:val="20"/>
              </w:rPr>
              <w:t>amount</w:t>
            </w:r>
          </w:p>
        </w:tc>
        <w:tc>
          <w:tcPr>
            <w:tcW w:type="dxa" w:w="6048"/>
          </w:tcPr>
          <w:p>
            <w:r/>
            <w:r>
              <w:rPr>
                <w:sz w:val="20"/>
              </w:rPr>
              <w:t>Signed monetary amount</w:t>
            </w:r>
          </w:p>
        </w:tc>
      </w:tr>
      <w:tr>
        <w:tc>
          <w:tcPr>
            <w:tcW w:type="dxa" w:w="2592"/>
          </w:tcPr>
          <w:p>
            <w:r/>
            <w:r>
              <w:rPr>
                <w:sz w:val="20"/>
              </w:rPr>
              <w:t>service_start</w:t>
            </w:r>
          </w:p>
        </w:tc>
        <w:tc>
          <w:tcPr>
            <w:tcW w:type="dxa" w:w="6048"/>
          </w:tcPr>
          <w:p>
            <w:r/>
            <w:r>
              <w:rPr>
                <w:sz w:val="20"/>
              </w:rPr>
              <w:t>First day of the service period</w:t>
            </w:r>
          </w:p>
        </w:tc>
      </w:tr>
      <w:tr>
        <w:tc>
          <w:tcPr>
            <w:tcW w:type="dxa" w:w="2592"/>
          </w:tcPr>
          <w:p>
            <w:r/>
            <w:r>
              <w:rPr>
                <w:sz w:val="20"/>
              </w:rPr>
              <w:t>service_end</w:t>
            </w:r>
          </w:p>
        </w:tc>
        <w:tc>
          <w:tcPr>
            <w:tcW w:type="dxa" w:w="6048"/>
          </w:tcPr>
          <w:p>
            <w:r/>
            <w:r>
              <w:rPr>
                <w:sz w:val="20"/>
              </w:rPr>
              <w:t>Last day of the service period</w:t>
            </w:r>
          </w:p>
        </w:tc>
      </w:tr>
      <w:tr>
        <w:tc>
          <w:tcPr>
            <w:tcW w:type="dxa" w:w="2592"/>
          </w:tcPr>
          <w:p>
            <w:r/>
            <w:r>
              <w:rPr>
                <w:sz w:val="20"/>
              </w:rPr>
              <w:t>source_updated_at</w:t>
            </w:r>
          </w:p>
        </w:tc>
        <w:tc>
          <w:tcPr>
            <w:tcW w:type="dxa" w:w="6048"/>
          </w:tcPr>
          <w:p>
            <w:r/>
            <w:r>
              <w:rPr>
                <w:sz w:val="20"/>
              </w:rPr>
              <w:t>When the source last changed this row</w:t>
            </w:r>
          </w:p>
        </w:tc>
      </w:tr>
      <w:tr>
        <w:tc>
          <w:tcPr>
            <w:tcW w:type="dxa" w:w="2592"/>
          </w:tcPr>
          <w:p>
            <w:r/>
            <w:r>
              <w:rPr>
                <w:sz w:val="20"/>
              </w:rPr>
              <w:t>ingested_at</w:t>
            </w:r>
          </w:p>
        </w:tc>
        <w:tc>
          <w:tcPr>
            <w:tcW w:type="dxa" w:w="6048"/>
          </w:tcPr>
          <w:p>
            <w:r/>
            <w:r>
              <w:rPr>
                <w:sz w:val="20"/>
              </w:rPr>
              <w:t>When our pipeline captured the row</w:t>
            </w:r>
          </w:p>
        </w:tc>
      </w:tr>
    </w:tbl>
    <w:p>
      <w:pPr>
        <w:spacing w:after="40"/>
      </w:pPr>
    </w:p>
    <w:p>
      <w:pPr>
        <w:pStyle w:val="Heading3"/>
      </w:pPr>
      <w:r>
        <w:t>The target chart of accounts</w:t>
      </w:r>
    </w:p>
    <w:p>
      <w:pPr>
        <w:spacing w:after="120"/>
      </w:pPr>
      <w:r>
        <w:rPr>
          <w:b w:val="0"/>
          <w:i w:val="0"/>
        </w:rPr>
        <w:t>This exercise uses three accounts. Each entity may use different account numbers, so account selection must be configurable rather than hard-coded.</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tcPr>
          <w:p>
            <w:r/>
            <w:r>
              <w:rPr>
                <w:b/>
                <w:sz w:val="20"/>
              </w:rPr>
              <w:t>Account</w:t>
            </w:r>
          </w:p>
        </w:tc>
        <w:tc>
          <w:tcPr>
            <w:tcW w:type="dxa" w:w="4032"/>
          </w:tcPr>
          <w:p>
            <w:r/>
            <w:r>
              <w:rPr>
                <w:b/>
                <w:sz w:val="20"/>
              </w:rPr>
              <w:t>Name</w:t>
            </w:r>
          </w:p>
        </w:tc>
        <w:tc>
          <w:tcPr>
            <w:tcW w:type="dxa" w:w="4320"/>
          </w:tcPr>
          <w:p>
            <w:r/>
            <w:r>
              <w:rPr>
                <w:b/>
                <w:sz w:val="20"/>
              </w:rPr>
              <w:t>Role</w:t>
            </w:r>
          </w:p>
        </w:tc>
      </w:tr>
      <w:tr>
        <w:tc>
          <w:tcPr>
            <w:tcW w:type="dxa" w:w="1440"/>
          </w:tcPr>
          <w:p>
            <w:r/>
            <w:r>
              <w:rPr>
                <w:sz w:val="20"/>
              </w:rPr>
              <w:t>10999</w:t>
            </w:r>
          </w:p>
        </w:tc>
        <w:tc>
          <w:tcPr>
            <w:tcW w:type="dxa" w:w="4032"/>
          </w:tcPr>
          <w:p>
            <w:r/>
            <w:r>
              <w:rPr>
                <w:sz w:val="20"/>
              </w:rPr>
              <w:t>Processor Clearing</w:t>
            </w:r>
          </w:p>
        </w:tc>
        <w:tc>
          <w:tcPr>
            <w:tcW w:type="dxa" w:w="4320"/>
          </w:tcPr>
          <w:p>
            <w:r/>
            <w:r>
              <w:rPr>
                <w:sz w:val="20"/>
              </w:rPr>
              <w:t>Asset received from the payment processor</w:t>
            </w:r>
          </w:p>
        </w:tc>
      </w:tr>
      <w:tr>
        <w:tc>
          <w:tcPr>
            <w:tcW w:type="dxa" w:w="1440"/>
          </w:tcPr>
          <w:p>
            <w:r/>
            <w:r>
              <w:rPr>
                <w:sz w:val="20"/>
              </w:rPr>
              <w:t>22100</w:t>
            </w:r>
          </w:p>
        </w:tc>
        <w:tc>
          <w:tcPr>
            <w:tcW w:type="dxa" w:w="4032"/>
          </w:tcPr>
          <w:p>
            <w:r/>
            <w:r>
              <w:rPr>
                <w:sz w:val="20"/>
              </w:rPr>
              <w:t>Deferred Revenue — Subscriptions</w:t>
            </w:r>
          </w:p>
        </w:tc>
        <w:tc>
          <w:tcPr>
            <w:tcW w:type="dxa" w:w="4320"/>
          </w:tcPr>
          <w:p>
            <w:r/>
            <w:r>
              <w:rPr>
                <w:sz w:val="20"/>
              </w:rPr>
              <w:t>Liability for service not yet delivered</w:t>
            </w:r>
          </w:p>
        </w:tc>
      </w:tr>
      <w:tr>
        <w:tc>
          <w:tcPr>
            <w:tcW w:type="dxa" w:w="1440"/>
          </w:tcPr>
          <w:p>
            <w:r/>
            <w:r>
              <w:rPr>
                <w:sz w:val="20"/>
              </w:rPr>
              <w:t>40110</w:t>
            </w:r>
          </w:p>
        </w:tc>
        <w:tc>
          <w:tcPr>
            <w:tcW w:type="dxa" w:w="4032"/>
          </w:tcPr>
          <w:p>
            <w:r/>
            <w:r>
              <w:rPr>
                <w:sz w:val="20"/>
              </w:rPr>
              <w:t>Subscription Revenue</w:t>
            </w:r>
          </w:p>
        </w:tc>
        <w:tc>
          <w:tcPr>
            <w:tcW w:type="dxa" w:w="4320"/>
          </w:tcPr>
          <w:p>
            <w:r/>
            <w:r>
              <w:rPr>
                <w:sz w:val="20"/>
              </w:rPr>
              <w:t>Revenue earned as service is delivered</w:t>
            </w:r>
          </w:p>
        </w:tc>
      </w:tr>
    </w:tbl>
    <w:p>
      <w:pPr>
        <w:spacing w:after="40"/>
      </w:pPr>
    </w:p>
    <w:p>
      <w:pPr>
        <w:pStyle w:val="Heading3"/>
      </w:pPr>
      <w:r>
        <w:t>What the discussion should cover</w:t>
      </w:r>
    </w:p>
    <w:p>
      <w:pPr>
        <w:pStyle w:val="ListNumber"/>
        <w:spacing w:after="40"/>
      </w:pPr>
      <w:r>
        <w:t>Clarify the problem, stakeholder questions, assumptions, and accounting-policy boundaries.</w:t>
      </w:r>
    </w:p>
    <w:p>
      <w:pPr>
        <w:pStyle w:val="ListNumber"/>
        <w:spacing w:after="40"/>
      </w:pPr>
      <w:r>
        <w:t>Build the charge-level subledger and the monthly revenue waterfall.</w:t>
      </w:r>
    </w:p>
    <w:p>
      <w:pPr>
        <w:pStyle w:val="ListNumber"/>
        <w:spacing w:after="40"/>
      </w:pPr>
      <w:r>
        <w:t>Aggregate balanced journal entries and preserve traceability to the source events.</w:t>
      </w:r>
    </w:p>
    <w:p>
      <w:pPr>
        <w:pStyle w:val="ListNumber"/>
        <w:spacing w:after="40"/>
      </w:pPr>
      <w:r>
        <w:t>Operate the pipeline reliably, including replays, corrections, late data, and failures.</w:t>
      </w:r>
    </w:p>
    <w:p>
      <w:pPr>
        <w:shd w:val="clear" w:color="auto" w:fill="EEF3FA"/>
        <w:pBdr>
          <w:left w:val="single" w:sz="4" w:space="6" w:color="1F4E79"/>
        </w:pBdr>
        <w:spacing w:before="80" w:after="160"/>
        <w:ind w:left="173"/>
      </w:pPr>
      <w:r>
        <w:rPr>
          <w:b/>
          <w:color w:val="1F4E79"/>
        </w:rPr>
        <w:t xml:space="preserve">Solution in one line.  </w:t>
      </w:r>
      <w:r>
        <w:rPr>
          <w:color w:val="1A1A1A"/>
        </w:rPr>
        <w:t>The design is a controlled translation from source billing events into a revenue schedule, a charge-level accounting subledger, monthly summaries, and balanced general-ledger journals.</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Billing events</w:t>
        <w:br/>
      </w:r>
      <w:r>
        <w:rPr>
          <w:rFonts w:ascii="Consolas" w:hAnsi="Consolas"/>
          <w:color w:val="203020"/>
          <w:sz w:val="19"/>
        </w:rPr>
        <w:t xml:space="preserve">   -&gt; revenue schedule</w:t>
        <w:br/>
      </w:r>
      <w:r>
        <w:rPr>
          <w:rFonts w:ascii="Consolas" w:hAnsi="Consolas"/>
          <w:color w:val="203020"/>
          <w:sz w:val="19"/>
        </w:rPr>
        <w:t xml:space="preserve">      -&gt; detailed accounting subledger</w:t>
        <w:br/>
      </w:r>
      <w:r>
        <w:rPr>
          <w:rFonts w:ascii="Consolas" w:hAnsi="Consolas"/>
          <w:color w:val="203020"/>
          <w:sz w:val="19"/>
        </w:rPr>
        <w:t xml:space="preserve">         -&gt; monthly summaries</w:t>
        <w:br/>
      </w:r>
      <w:r>
        <w:rPr>
          <w:rFonts w:ascii="Consolas" w:hAnsi="Consolas"/>
          <w:color w:val="203020"/>
          <w:sz w:val="19"/>
        </w:rPr>
        <w:t xml:space="preserve">            -&gt; general-ledger journals</w:t>
      </w:r>
    </w:p>
    <w:p>
      <w:pPr>
        <w:pBdr>
          <w:top w:val="single" w:sz="6" w:space="6" w:color="C9D2E0"/>
          <w:left w:val="single" w:sz="6" w:space="6" w:color="C9D2E0"/>
          <w:bottom w:val="single" w:sz="6" w:space="6" w:color="C9D2E0"/>
          <w:right w:val="single" w:sz="6" w:space="6" w:color="C9D2E0"/>
        </w:pBdr>
        <w:spacing w:after="160"/>
      </w:pPr>
    </w:p>
    <w:p>
      <w:pPr>
        <w:pStyle w:val="Heading1"/>
      </w:pPr>
      <w:r>
        <w:t>2. The accounting objective</w:t>
      </w:r>
    </w:p>
    <w:p>
      <w:pPr>
        <w:spacing w:after="120"/>
      </w:pPr>
      <w:r>
        <w:rPr>
          <w:b w:val="0"/>
          <w:i w:val="0"/>
        </w:rPr>
        <w:t>For every subscription charge, finance needs three numbers:</w:t>
      </w:r>
    </w:p>
    <w:p>
      <w:pPr>
        <w:pStyle w:val="ListBullet"/>
        <w:spacing w:after="40"/>
      </w:pPr>
      <w:r>
        <w:t>Billed — how much the customer was charged.</w:t>
      </w:r>
    </w:p>
    <w:p>
      <w:pPr>
        <w:pStyle w:val="ListBullet"/>
        <w:spacing w:after="40"/>
      </w:pPr>
      <w:r>
        <w:t>Earned — how much service has already been delivered.</w:t>
      </w:r>
    </w:p>
    <w:p>
      <w:pPr>
        <w:pStyle w:val="ListBullet"/>
        <w:spacing w:after="40"/>
      </w:pPr>
      <w:r>
        <w:t>Deferred — how much was billed but not yet earned.</w:t>
      </w:r>
    </w:p>
    <w:p>
      <w:pPr>
        <w:spacing w:after="120"/>
      </w:pPr>
      <w:r>
        <w:rPr>
          <w:b w:val="0"/>
          <w:i w:val="0"/>
        </w:rPr>
        <w:t>These are linked by one equation, applied per account each month:</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Closing deferred revenue</w:t>
        <w:br/>
      </w:r>
      <w:r>
        <w:rPr>
          <w:rFonts w:ascii="Consolas" w:hAnsi="Consolas"/>
          <w:color w:val="203020"/>
          <w:sz w:val="19"/>
        </w:rPr>
        <w:t xml:space="preserve">  = Opening deferred revenue</w:t>
        <w:br/>
      </w:r>
      <w:r>
        <w:rPr>
          <w:rFonts w:ascii="Consolas" w:hAnsi="Consolas"/>
          <w:color w:val="203020"/>
          <w:sz w:val="19"/>
        </w:rPr>
        <w:t xml:space="preserve">  + Amount billed</w:t>
        <w:br/>
      </w:r>
      <w:r>
        <w:rPr>
          <w:rFonts w:ascii="Consolas" w:hAnsi="Consolas"/>
          <w:color w:val="203020"/>
          <w:sz w:val="19"/>
        </w:rPr>
        <w:t xml:space="preserve">  - Revenue earned</w:t>
        <w:br/>
      </w:r>
      <w:r>
        <w:rPr>
          <w:rFonts w:ascii="Consolas" w:hAnsi="Consolas"/>
          <w:color w:val="203020"/>
          <w:sz w:val="19"/>
        </w:rPr>
        <w:t xml:space="preserve">  +/- Corrections</w:t>
      </w:r>
    </w:p>
    <w:p>
      <w:pPr>
        <w:shd w:val="clear" w:color="auto" w:fill="EEF3FA"/>
        <w:pBdr>
          <w:left w:val="single" w:sz="4" w:space="6" w:color="1F4E79"/>
        </w:pBdr>
        <w:spacing w:before="80" w:after="160"/>
        <w:ind w:left="173"/>
      </w:pPr>
      <w:r>
        <w:rPr>
          <w:b/>
          <w:color w:val="1F4E79"/>
        </w:rPr>
        <w:t xml:space="preserve">Why deferred revenue is a liability.  </w:t>
      </w:r>
      <w:r>
        <w:rPr>
          <w:color w:val="1A1A1A"/>
        </w:rPr>
        <w:t>The customer has paid, but the company still owes them future service. The unearned portion is an obligation, so it sits on the liability side until the service is delivered.</w:t>
      </w:r>
    </w:p>
    <w:p>
      <w:pPr>
        <w:pBdr>
          <w:top w:val="single" w:sz="6" w:space="6" w:color="C9D2E0"/>
          <w:left w:val="single" w:sz="6" w:space="6" w:color="C9D2E0"/>
          <w:bottom w:val="single" w:sz="6" w:space="6" w:color="C9D2E0"/>
          <w:right w:val="single" w:sz="6" w:space="6" w:color="C9D2E0"/>
        </w:pBdr>
        <w:spacing w:after="160"/>
      </w:pPr>
    </w:p>
    <w:p>
      <w:pPr>
        <w:pStyle w:val="Heading1"/>
      </w:pPr>
      <w:r>
        <w:t>3. A worked accounting example</w:t>
      </w:r>
    </w:p>
    <w:p>
      <w:pPr>
        <w:spacing w:after="120"/>
      </w:pPr>
      <w:r>
        <w:rPr>
          <w:b w:val="0"/>
          <w:i w:val="0"/>
        </w:rPr>
        <w:t>A customer is billed $610 for service from April 1 through May 31. That period spans 61 service days, so the daily rate is $610 / 61 = $10 per day.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016"/>
          </w:tcPr>
          <w:p>
            <w:r/>
            <w:r>
              <w:rPr>
                <w:b/>
                <w:sz w:val="20"/>
              </w:rPr>
              <w:t>Month</w:t>
            </w:r>
          </w:p>
        </w:tc>
        <w:tc>
          <w:tcPr>
            <w:tcW w:type="dxa" w:w="2016"/>
          </w:tcPr>
          <w:p>
            <w:r/>
            <w:r>
              <w:rPr>
                <w:b/>
                <w:sz w:val="20"/>
              </w:rPr>
              <w:t>Service days</w:t>
            </w:r>
          </w:p>
        </w:tc>
        <w:tc>
          <w:tcPr>
            <w:tcW w:type="dxa" w:w="2016"/>
          </w:tcPr>
          <w:p>
            <w:r/>
            <w:r>
              <w:rPr>
                <w:b/>
                <w:sz w:val="20"/>
              </w:rPr>
              <w:t>Daily rate</w:t>
            </w:r>
          </w:p>
        </w:tc>
        <w:tc>
          <w:tcPr>
            <w:tcW w:type="dxa" w:w="2016"/>
          </w:tcPr>
          <w:p>
            <w:r/>
            <w:r>
              <w:rPr>
                <w:b/>
                <w:sz w:val="20"/>
              </w:rPr>
              <w:t>Earned</w:t>
            </w:r>
          </w:p>
        </w:tc>
      </w:tr>
      <w:tr>
        <w:tc>
          <w:tcPr>
            <w:tcW w:type="dxa" w:w="2016"/>
          </w:tcPr>
          <w:p>
            <w:r/>
            <w:r>
              <w:rPr>
                <w:sz w:val="20"/>
              </w:rPr>
              <w:t>April</w:t>
            </w:r>
          </w:p>
        </w:tc>
        <w:tc>
          <w:tcPr>
            <w:tcW w:type="dxa" w:w="2016"/>
          </w:tcPr>
          <w:p>
            <w:r/>
            <w:r>
              <w:rPr>
                <w:sz w:val="20"/>
              </w:rPr>
              <w:t>30</w:t>
            </w:r>
          </w:p>
        </w:tc>
        <w:tc>
          <w:tcPr>
            <w:tcW w:type="dxa" w:w="2016"/>
          </w:tcPr>
          <w:p>
            <w:r/>
            <w:r>
              <w:rPr>
                <w:sz w:val="20"/>
              </w:rPr>
              <w:t>$10</w:t>
            </w:r>
          </w:p>
        </w:tc>
        <w:tc>
          <w:tcPr>
            <w:tcW w:type="dxa" w:w="2016"/>
          </w:tcPr>
          <w:p>
            <w:r/>
            <w:r>
              <w:rPr>
                <w:sz w:val="20"/>
              </w:rPr>
              <w:t>$300</w:t>
            </w:r>
          </w:p>
        </w:tc>
      </w:tr>
      <w:tr>
        <w:tc>
          <w:tcPr>
            <w:tcW w:type="dxa" w:w="2016"/>
          </w:tcPr>
          <w:p>
            <w:r/>
            <w:r>
              <w:rPr>
                <w:sz w:val="20"/>
              </w:rPr>
              <w:t>May</w:t>
            </w:r>
          </w:p>
        </w:tc>
        <w:tc>
          <w:tcPr>
            <w:tcW w:type="dxa" w:w="2016"/>
          </w:tcPr>
          <w:p>
            <w:r/>
            <w:r>
              <w:rPr>
                <w:sz w:val="20"/>
              </w:rPr>
              <w:t>31</w:t>
            </w:r>
          </w:p>
        </w:tc>
        <w:tc>
          <w:tcPr>
            <w:tcW w:type="dxa" w:w="2016"/>
          </w:tcPr>
          <w:p>
            <w:r/>
            <w:r>
              <w:rPr>
                <w:sz w:val="20"/>
              </w:rPr>
              <w:t>$10</w:t>
            </w:r>
          </w:p>
        </w:tc>
        <w:tc>
          <w:tcPr>
            <w:tcW w:type="dxa" w:w="2016"/>
          </w:tcPr>
          <w:p>
            <w:r/>
            <w:r>
              <w:rPr>
                <w:sz w:val="20"/>
              </w:rPr>
              <w:t>$310</w:t>
            </w:r>
          </w:p>
        </w:tc>
      </w:tr>
    </w:tbl>
    <w:p>
      <w:pPr>
        <w:spacing w:after="40"/>
      </w:pPr>
    </w:p>
    <w:p>
      <w:pPr>
        <w:spacing w:after="120"/>
      </w:pPr>
      <w:r>
        <w:rPr>
          <w:b w:val="0"/>
          <w:i w:val="0"/>
        </w:rPr>
        <w:t>The resulting revenue waterfall:</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584"/>
          </w:tcPr>
          <w:p>
            <w:r/>
            <w:r>
              <w:rPr>
                <w:b/>
                <w:sz w:val="20"/>
              </w:rPr>
              <w:t>Month</w:t>
            </w:r>
          </w:p>
        </w:tc>
        <w:tc>
          <w:tcPr>
            <w:tcW w:type="dxa" w:w="2304"/>
          </w:tcPr>
          <w:p>
            <w:r/>
            <w:r>
              <w:rPr>
                <w:b/>
                <w:sz w:val="20"/>
              </w:rPr>
              <w:t>Opening deferred</w:t>
            </w:r>
          </w:p>
        </w:tc>
        <w:tc>
          <w:tcPr>
            <w:tcW w:type="dxa" w:w="1584"/>
          </w:tcPr>
          <w:p>
            <w:r/>
            <w:r>
              <w:rPr>
                <w:b/>
                <w:sz w:val="20"/>
              </w:rPr>
              <w:t>Billed</w:t>
            </w:r>
          </w:p>
        </w:tc>
        <w:tc>
          <w:tcPr>
            <w:tcW w:type="dxa" w:w="1584"/>
          </w:tcPr>
          <w:p>
            <w:r/>
            <w:r>
              <w:rPr>
                <w:b/>
                <w:sz w:val="20"/>
              </w:rPr>
              <w:t>Earned</w:t>
            </w:r>
          </w:p>
        </w:tc>
        <w:tc>
          <w:tcPr>
            <w:tcW w:type="dxa" w:w="2304"/>
          </w:tcPr>
          <w:p>
            <w:r/>
            <w:r>
              <w:rPr>
                <w:b/>
                <w:sz w:val="20"/>
              </w:rPr>
              <w:t>Closing deferred</w:t>
            </w:r>
          </w:p>
        </w:tc>
      </w:tr>
      <w:tr>
        <w:tc>
          <w:tcPr>
            <w:tcW w:type="dxa" w:w="1584"/>
          </w:tcPr>
          <w:p>
            <w:r/>
            <w:r>
              <w:rPr>
                <w:sz w:val="20"/>
              </w:rPr>
              <w:t>April</w:t>
            </w:r>
          </w:p>
        </w:tc>
        <w:tc>
          <w:tcPr>
            <w:tcW w:type="dxa" w:w="2304"/>
          </w:tcPr>
          <w:p>
            <w:r/>
            <w:r>
              <w:rPr>
                <w:sz w:val="20"/>
              </w:rPr>
              <w:t>$0</w:t>
            </w:r>
          </w:p>
        </w:tc>
        <w:tc>
          <w:tcPr>
            <w:tcW w:type="dxa" w:w="1584"/>
          </w:tcPr>
          <w:p>
            <w:r/>
            <w:r>
              <w:rPr>
                <w:sz w:val="20"/>
              </w:rPr>
              <w:t>$610</w:t>
            </w:r>
          </w:p>
        </w:tc>
        <w:tc>
          <w:tcPr>
            <w:tcW w:type="dxa" w:w="1584"/>
          </w:tcPr>
          <w:p>
            <w:r/>
            <w:r>
              <w:rPr>
                <w:sz w:val="20"/>
              </w:rPr>
              <w:t>$300</w:t>
            </w:r>
          </w:p>
        </w:tc>
        <w:tc>
          <w:tcPr>
            <w:tcW w:type="dxa" w:w="2304"/>
          </w:tcPr>
          <w:p>
            <w:r/>
            <w:r>
              <w:rPr>
                <w:sz w:val="20"/>
              </w:rPr>
              <w:t>$310</w:t>
            </w:r>
          </w:p>
        </w:tc>
      </w:tr>
      <w:tr>
        <w:tc>
          <w:tcPr>
            <w:tcW w:type="dxa" w:w="1584"/>
          </w:tcPr>
          <w:p>
            <w:r/>
            <w:r>
              <w:rPr>
                <w:sz w:val="20"/>
              </w:rPr>
              <w:t>May</w:t>
            </w:r>
          </w:p>
        </w:tc>
        <w:tc>
          <w:tcPr>
            <w:tcW w:type="dxa" w:w="2304"/>
          </w:tcPr>
          <w:p>
            <w:r/>
            <w:r>
              <w:rPr>
                <w:sz w:val="20"/>
              </w:rPr>
              <w:t>$310</w:t>
            </w:r>
          </w:p>
        </w:tc>
        <w:tc>
          <w:tcPr>
            <w:tcW w:type="dxa" w:w="1584"/>
          </w:tcPr>
          <w:p>
            <w:r/>
            <w:r>
              <w:rPr>
                <w:sz w:val="20"/>
              </w:rPr>
              <w:t>$0</w:t>
            </w:r>
          </w:p>
        </w:tc>
        <w:tc>
          <w:tcPr>
            <w:tcW w:type="dxa" w:w="1584"/>
          </w:tcPr>
          <w:p>
            <w:r/>
            <w:r>
              <w:rPr>
                <w:sz w:val="20"/>
              </w:rPr>
              <w:t>$310</w:t>
            </w:r>
          </w:p>
        </w:tc>
        <w:tc>
          <w:tcPr>
            <w:tcW w:type="dxa" w:w="2304"/>
          </w:tcPr>
          <w:p>
            <w:r/>
            <w:r>
              <w:rPr>
                <w:sz w:val="20"/>
              </w:rPr>
              <w:t>$0</w:t>
            </w:r>
          </w:p>
        </w:tc>
      </w:tr>
    </w:tbl>
    <w:p>
      <w:pPr>
        <w:spacing w:after="40"/>
      </w:pPr>
    </w:p>
    <w:p>
      <w:pPr>
        <w:spacing w:after="120"/>
      </w:pPr>
      <w:r>
        <w:rPr>
          <w:b w:val="0"/>
          <w:i w:val="0"/>
        </w:rPr>
        <w:t>At the end of April the company has earned $300 and still owes $310 of service.</w:t>
      </w:r>
    </w:p>
    <w:p>
      <w:pPr>
        <w:pStyle w:val="Heading3"/>
      </w:pPr>
      <w:r>
        <w:t>April — billing journal</w:t>
      </w:r>
    </w:p>
    <w:p>
      <w:pPr>
        <w:spacing w:after="120"/>
      </w:pPr>
      <w:r>
        <w:rPr>
          <w:b w:val="0"/>
          <w:i w:val="0"/>
        </w:rPr>
        <w:t>Recorded when the settled charge is received. It books the asset from the processor and the obligation to deliver service.</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Debit   10999 Processor Clearing      610.00</w:t>
        <w:br/>
      </w:r>
      <w:r>
        <w:rPr>
          <w:rFonts w:ascii="Consolas" w:hAnsi="Consolas"/>
          <w:color w:val="203020"/>
          <w:sz w:val="19"/>
        </w:rPr>
        <w:t>Credit  22100 Deferred Revenue        610.00</w:t>
      </w:r>
    </w:p>
    <w:p>
      <w:pPr>
        <w:pStyle w:val="Heading3"/>
      </w:pPr>
      <w:r>
        <w:t>April — revenue-recognition journal</w:t>
      </w:r>
    </w:p>
    <w:p>
      <w:pPr>
        <w:spacing w:after="120"/>
      </w:pPr>
      <w:r>
        <w:rPr>
          <w:b w:val="0"/>
          <w:i w:val="0"/>
        </w:rPr>
        <w:t>Recorded after April's service is delivered. It reduces the obligation and books earned revenue.</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Debit   22100 Deferred Revenue        300.00</w:t>
        <w:br/>
      </w:r>
      <w:r>
        <w:rPr>
          <w:rFonts w:ascii="Consolas" w:hAnsi="Consolas"/>
          <w:color w:val="203020"/>
          <w:sz w:val="19"/>
        </w:rPr>
        <w:t>Credit  40110 Subscription Revenue    300.00</w:t>
      </w:r>
    </w:p>
    <w:p>
      <w:pPr>
        <w:pStyle w:val="Heading3"/>
      </w:pPr>
      <w:r>
        <w:t>May — revenue-recognition journal</w:t>
      </w:r>
    </w:p>
    <w:p>
      <w:pPr>
        <w:spacing w:after="120"/>
      </w:pPr>
      <w:r>
        <w:rPr>
          <w:b w:val="0"/>
          <w:i w:val="0"/>
        </w:rPr>
        <w:t>After May's service, deferred revenue returns to zero because all service has been delivered.</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Debit   22100 Deferred Revenue        310.00</w:t>
        <w:br/>
      </w:r>
      <w:r>
        <w:rPr>
          <w:rFonts w:ascii="Consolas" w:hAnsi="Consolas"/>
          <w:color w:val="203020"/>
          <w:sz w:val="19"/>
        </w:rPr>
        <w:t>Credit  40110 Subscription Revenue    310.00</w:t>
      </w:r>
    </w:p>
    <w:p>
      <w:pPr>
        <w:shd w:val="clear" w:color="auto" w:fill="FBF4E6"/>
        <w:pBdr>
          <w:left w:val="single" w:sz="4" w:space="6" w:color="B8860B"/>
        </w:pBdr>
        <w:spacing w:before="80" w:after="160"/>
        <w:ind w:left="173"/>
      </w:pPr>
      <w:r>
        <w:rPr>
          <w:b/>
          <w:color w:val="1F4E79"/>
        </w:rPr>
        <w:t xml:space="preserve">Policy question for finance.  </w:t>
      </w:r>
      <w:r>
        <w:rPr>
          <w:color w:val="1A1A1A"/>
        </w:rPr>
        <w:t>Does a source event represent a settled processor charge or an unpaid invoice? If it is an unpaid invoice, the debit should go to accounts receivable instead of Processor Clearing. Confirm this before building the mapping.</w:t>
      </w:r>
    </w:p>
    <w:p>
      <w:pPr>
        <w:pBdr>
          <w:top w:val="single" w:sz="6" w:space="6" w:color="C9D2E0"/>
          <w:left w:val="single" w:sz="6" w:space="6" w:color="C9D2E0"/>
          <w:bottom w:val="single" w:sz="6" w:space="6" w:color="C9D2E0"/>
          <w:right w:val="single" w:sz="6" w:space="6" w:color="C9D2E0"/>
        </w:pBdr>
        <w:spacing w:after="160"/>
      </w:pPr>
    </w:p>
    <w:p>
      <w:pPr>
        <w:pStyle w:val="Heading1"/>
      </w:pPr>
      <w:r>
        <w:t>4. The three required outputs</w:t>
      </w:r>
    </w:p>
    <w:p>
      <w:pPr>
        <w:pStyle w:val="Heading3"/>
      </w:pPr>
      <w:r>
        <w:t>Charge-level subledger</w:t>
      </w:r>
    </w:p>
    <w:p>
      <w:pPr>
        <w:spacing w:after="120"/>
      </w:pPr>
      <w:r>
        <w:rPr>
          <w:b w:val="0"/>
          <w:i w:val="0"/>
        </w:rPr>
        <w:t>The subledger keeps the full accounting for every individual charge. It is the detailed source of truth that every summary is built from.</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Charge A</w:t>
        <w:br/>
      </w:r>
      <w:r>
        <w:rPr>
          <w:rFonts w:ascii="Consolas" w:hAnsi="Consolas"/>
          <w:color w:val="203020"/>
          <w:sz w:val="19"/>
        </w:rPr>
        <w:t xml:space="preserve">  Billing:        Dr Clearing 610  / Cr Deferred 610</w:t>
        <w:br/>
      </w:r>
      <w:r>
        <w:rPr>
          <w:rFonts w:ascii="Consolas" w:hAnsi="Consolas"/>
          <w:color w:val="203020"/>
          <w:sz w:val="19"/>
        </w:rPr>
        <w:t xml:space="preserve">  April revenue:  Dr Deferred 300  / Cr Revenue  300</w:t>
        <w:br/>
      </w:r>
      <w:r>
        <w:rPr>
          <w:rFonts w:ascii="Consolas" w:hAnsi="Consolas"/>
          <w:color w:val="203020"/>
          <w:sz w:val="19"/>
        </w:rPr>
        <w:t xml:space="preserve">  May revenue:    Dr Deferred 310  / Cr Revenue  310</w:t>
      </w:r>
    </w:p>
    <w:p>
      <w:pPr>
        <w:pStyle w:val="Heading3"/>
      </w:pPr>
      <w:r>
        <w:t>Monthly waterfall</w:t>
      </w:r>
    </w:p>
    <w:p>
      <w:pPr>
        <w:spacing w:after="120"/>
      </w:pPr>
      <w:r>
        <w:rPr>
          <w:b w:val="0"/>
          <w:i w:val="0"/>
        </w:rPr>
        <w:t>The waterfall reorganizes the subledger into monthly movements so finance can explain why the deferred balance changed.</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Opening deferred + billed - earned = closing deferred</w:t>
      </w:r>
    </w:p>
    <w:p>
      <w:pPr>
        <w:pStyle w:val="Heading3"/>
      </w:pPr>
      <w:r>
        <w:t>Summary journal</w:t>
      </w:r>
    </w:p>
    <w:p>
      <w:pPr>
        <w:spacing w:after="120"/>
      </w:pPr>
      <w:r>
        <w:rPr>
          <w:b w:val="0"/>
          <w:i w:val="0"/>
        </w:rPr>
        <w:t>Campfire should not receive one journal line per charge; at scale that would create millions of general-ledger lines. Instead the pipeline aggregates the subledger into a small number of summarized lines.</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All April billing entries     -&gt; one summarized billing journal</w:t>
        <w:br/>
      </w:r>
      <w:r>
        <w:rPr>
          <w:rFonts w:ascii="Consolas" w:hAnsi="Consolas"/>
          <w:color w:val="203020"/>
          <w:sz w:val="19"/>
        </w:rPr>
        <w:t>All April recognition entries -&gt; one summarized revenue journal</w:t>
      </w:r>
    </w:p>
    <w:p>
      <w:pPr>
        <w:spacing w:after="120"/>
      </w:pPr>
      <w:r>
        <w:rPr>
          <w:b w:val="0"/>
          <w:i w:val="0"/>
        </w:rPr>
        <w:t>A separate allocation table links each summary line back to its contributing charges. That gives both:</w:t>
      </w:r>
    </w:p>
    <w:p>
      <w:pPr>
        <w:pStyle w:val="ListBullet"/>
        <w:spacing w:after="40"/>
      </w:pPr>
      <w:r>
        <w:t>manageable journal volume inside Campfire, and</w:t>
      </w:r>
    </w:p>
    <w:p>
      <w:pPr>
        <w:pStyle w:val="ListBullet"/>
        <w:spacing w:after="40"/>
      </w:pPr>
      <w:r>
        <w:t>full charge-level traceability outside the general ledger.</w:t>
      </w:r>
    </w:p>
    <w:p>
      <w:pPr>
        <w:pBdr>
          <w:top w:val="single" w:sz="6" w:space="6" w:color="C9D2E0"/>
          <w:left w:val="single" w:sz="6" w:space="6" w:color="C9D2E0"/>
          <w:bottom w:val="single" w:sz="6" w:space="6" w:color="C9D2E0"/>
          <w:right w:val="single" w:sz="6" w:space="6" w:color="C9D2E0"/>
        </w:pBdr>
        <w:spacing w:after="160"/>
      </w:pPr>
    </w:p>
    <w:p>
      <w:pPr>
        <w:pStyle w:val="Heading1"/>
      </w:pPr>
      <w:r>
        <w:t>5. End-to-end data flow</w:t>
      </w:r>
    </w:p>
    <w:p>
      <w:pPr>
        <w:pStyle w:val="Heading3"/>
      </w:pPr>
      <w:r>
        <w:t>Step 1 — Extract warehouse events</w:t>
      </w:r>
    </w:p>
    <w:p>
      <w:pPr>
        <w:spacing w:after="120"/>
      </w:pPr>
      <w:r>
        <w:rPr>
          <w:b w:val="0"/>
          <w:i w:val="0"/>
        </w:rPr>
        <w:t>The pipeline reads rows using a two-part cursor:</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(source_updated_at, source_event_id)</w:t>
      </w:r>
    </w:p>
    <w:p>
      <w:pPr>
        <w:spacing w:after="120"/>
      </w:pPr>
      <w:r>
        <w:rPr>
          <w:b w:val="0"/>
          <w:i w:val="0"/>
        </w:rPr>
        <w:t>Reading by event_date alone would be wrong: a two-year-old event could be corrected today. Its old event date would not reveal the change, but its new source_updated_at would. The pipeline rereads a small overlapping window each run; duplicate detection makes that safe because the same event version is never processed twice.</w:t>
      </w:r>
    </w:p>
    <w:p>
      <w:pPr>
        <w:pStyle w:val="Heading3"/>
      </w:pPr>
      <w:r>
        <w:t>Step 2 — Preserve the raw source versions</w:t>
      </w:r>
    </w:p>
    <w:p>
      <w:pPr>
        <w:spacing w:after="120"/>
      </w:pPr>
      <w:r>
        <w:rPr>
          <w:b w:val="0"/>
          <w:i w:val="0"/>
        </w:rPr>
        <w:t>Every observation is stored unchanged, with:</w:t>
      </w:r>
    </w:p>
    <w:p>
      <w:pPr>
        <w:pStyle w:val="ListBullet"/>
        <w:spacing w:after="40"/>
      </w:pPr>
      <w:r>
        <w:t>source event id</w:t>
      </w:r>
    </w:p>
    <w:p>
      <w:pPr>
        <w:pStyle w:val="ListBullet"/>
        <w:spacing w:after="40"/>
      </w:pPr>
      <w:r>
        <w:t>source update timestamp</w:t>
      </w:r>
    </w:p>
    <w:p>
      <w:pPr>
        <w:pStyle w:val="ListBullet"/>
        <w:spacing w:after="40"/>
      </w:pPr>
      <w:r>
        <w:t>ingestion run</w:t>
      </w:r>
    </w:p>
    <w:p>
      <w:pPr>
        <w:pStyle w:val="ListBullet"/>
        <w:spacing w:after="40"/>
      </w:pPr>
      <w:r>
        <w:t>payload hash</w:t>
      </w:r>
    </w:p>
    <w:p>
      <w:pPr>
        <w:pStyle w:val="ListBullet"/>
        <w:spacing w:after="40"/>
      </w:pPr>
      <w:r>
        <w:t>raw values</w:t>
      </w:r>
    </w:p>
    <w:p>
      <w:pPr>
        <w:pStyle w:val="ListBullet"/>
        <w:spacing w:after="40"/>
      </w:pPr>
      <w:r>
        <w:t>source extraction cutoff</w:t>
      </w:r>
    </w:p>
    <w:p>
      <w:pPr>
        <w:shd w:val="clear" w:color="auto" w:fill="EEF3FA"/>
        <w:pBdr>
          <w:left w:val="single" w:sz="4" w:space="6" w:color="1F4E79"/>
        </w:pBdr>
        <w:spacing w:before="80" w:after="160"/>
        <w:ind w:left="173"/>
      </w:pPr>
      <w:r>
        <w:rPr>
          <w:b/>
          <w:color w:val="1F4E79"/>
        </w:rPr>
        <w:t xml:space="preserve">Why keep an immutable raw layer?  </w:t>
      </w:r>
      <w:r>
        <w:rPr>
          <w:color w:val="1A1A1A"/>
        </w:rPr>
        <w:t>So the team can always answer: what exactly did the source contain when this journal was created? That record is what makes an audit defensible.</w:t>
      </w:r>
    </w:p>
    <w:p>
      <w:pPr>
        <w:pStyle w:val="Heading3"/>
      </w:pPr>
      <w:r>
        <w:t>Step 3 — Normalize the events</w:t>
      </w:r>
    </w:p>
    <w:p>
      <w:pPr>
        <w:spacing w:after="120"/>
      </w:pPr>
      <w:r>
        <w:rPr>
          <w:b w:val="0"/>
          <w:i w:val="0"/>
        </w:rPr>
        <w:t>Different source event types are mapped into one canonical model:</w:t>
      </w:r>
    </w:p>
    <w:p>
      <w:pPr>
        <w:pStyle w:val="ListBullet"/>
        <w:spacing w:after="40"/>
      </w:pPr>
      <w:r>
        <w:t>customer</w:t>
      </w:r>
    </w:p>
    <w:p>
      <w:pPr>
        <w:pStyle w:val="ListBullet"/>
        <w:spacing w:after="40"/>
      </w:pPr>
      <w:r>
        <w:t>charge id</w:t>
      </w:r>
    </w:p>
    <w:p>
      <w:pPr>
        <w:pStyle w:val="ListBullet"/>
        <w:spacing w:after="40"/>
      </w:pPr>
      <w:r>
        <w:t>entity</w:t>
      </w:r>
    </w:p>
    <w:p>
      <w:pPr>
        <w:pStyle w:val="ListBullet"/>
        <w:spacing w:after="40"/>
      </w:pPr>
      <w:r>
        <w:t>currency</w:t>
      </w:r>
    </w:p>
    <w:p>
      <w:pPr>
        <w:pStyle w:val="ListBullet"/>
        <w:spacing w:after="40"/>
      </w:pPr>
      <w:r>
        <w:t>product</w:t>
      </w:r>
    </w:p>
    <w:p>
      <w:pPr>
        <w:pStyle w:val="ListBullet"/>
        <w:spacing w:after="40"/>
      </w:pPr>
      <w:r>
        <w:t>event type</w:t>
      </w:r>
    </w:p>
    <w:p>
      <w:pPr>
        <w:pStyle w:val="ListBullet"/>
        <w:spacing w:after="40"/>
      </w:pPr>
      <w:r>
        <w:t>signed amount</w:t>
      </w:r>
    </w:p>
    <w:p>
      <w:pPr>
        <w:pStyle w:val="ListBullet"/>
        <w:spacing w:after="40"/>
      </w:pPr>
      <w:r>
        <w:t>billing date</w:t>
      </w:r>
    </w:p>
    <w:p>
      <w:pPr>
        <w:pStyle w:val="ListBullet"/>
        <w:spacing w:after="40"/>
      </w:pPr>
      <w:r>
        <w:t>service start</w:t>
      </w:r>
    </w:p>
    <w:p>
      <w:pPr>
        <w:pStyle w:val="ListBullet"/>
        <w:spacing w:after="40"/>
      </w:pPr>
      <w:r>
        <w:t>service end</w:t>
      </w:r>
    </w:p>
    <w:p>
      <w:pPr>
        <w:pStyle w:val="ListBullet"/>
        <w:spacing w:after="40"/>
      </w:pPr>
      <w:r>
        <w:t>source version</w:t>
      </w:r>
    </w:p>
    <w:p>
      <w:pPr>
        <w:spacing w:after="120"/>
      </w:pPr>
      <w:r>
        <w:rPr>
          <w:b w:val="0"/>
          <w:i w:val="0"/>
        </w:rPr>
        <w:t>Invalid events are quarantined, never silently dropped. Common reasons:</w:t>
      </w:r>
    </w:p>
    <w:p>
      <w:pPr>
        <w:pStyle w:val="ListBullet"/>
        <w:spacing w:after="40"/>
      </w:pPr>
      <w:r>
        <w:t>missing service dates</w:t>
      </w:r>
    </w:p>
    <w:p>
      <w:pPr>
        <w:pStyle w:val="ListBullet"/>
        <w:spacing w:after="40"/>
      </w:pPr>
      <w:r>
        <w:t>unsupported event types</w:t>
      </w:r>
    </w:p>
    <w:p>
      <w:pPr>
        <w:pStyle w:val="ListBullet"/>
        <w:spacing w:after="40"/>
      </w:pPr>
      <w:r>
        <w:t>invalid currencies</w:t>
      </w:r>
    </w:p>
    <w:p>
      <w:pPr>
        <w:pStyle w:val="ListBullet"/>
        <w:spacing w:after="40"/>
      </w:pPr>
      <w:r>
        <w:t>unknown entities</w:t>
      </w:r>
    </w:p>
    <w:p>
      <w:pPr>
        <w:pStyle w:val="ListBullet"/>
        <w:spacing w:after="40"/>
      </w:pPr>
      <w:r>
        <w:t>unlinked refunds</w:t>
      </w:r>
    </w:p>
    <w:p>
      <w:pPr>
        <w:pStyle w:val="ListBullet"/>
        <w:spacing w:after="40"/>
      </w:pPr>
      <w:r>
        <w:t>ambiguous source versions</w:t>
      </w:r>
    </w:p>
    <w:p>
      <w:pPr>
        <w:pStyle w:val="Heading3"/>
      </w:pPr>
      <w:r>
        <w:t>Step 4 — Generate the revenue schedule</w:t>
      </w:r>
    </w:p>
    <w:p>
      <w:pPr>
        <w:spacing w:after="120"/>
      </w:pPr>
      <w:r>
        <w:rPr>
          <w:b w:val="0"/>
          <w:i w:val="0"/>
        </w:rPr>
        <w:t>The recognition engine spreads each charge across its service months:</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Revenue for month = charge amount x service days in month / total service days</w:t>
      </w:r>
    </w:p>
    <w:p>
      <w:pPr>
        <w:shd w:val="clear" w:color="auto" w:fill="FBE9E7"/>
        <w:pBdr>
          <w:left w:val="single" w:sz="4" w:space="6" w:color="B22222"/>
        </w:pBdr>
        <w:spacing w:before="80" w:after="160"/>
        <w:ind w:left="173"/>
      </w:pPr>
      <w:r>
        <w:rPr>
          <w:b/>
          <w:color w:val="1F4E79"/>
        </w:rPr>
        <w:t xml:space="preserve">Use decimal money, not floating point.  </w:t>
      </w:r>
      <w:r>
        <w:rPr>
          <w:color w:val="1A1A1A"/>
        </w:rPr>
        <w:t>Compute in decimal and assign any residual cents with a deterministic rounding rule so that the sum of monthly revenue equals the exact charge amount, to the cent.</w:t>
      </w:r>
    </w:p>
    <w:p>
      <w:pPr>
        <w:pStyle w:val="Heading3"/>
      </w:pPr>
      <w:r>
        <w:t>Step 5 — Create the subledger</w:t>
      </w:r>
    </w:p>
    <w:p>
      <w:pPr>
        <w:spacing w:after="120"/>
      </w:pPr>
      <w:r>
        <w:rPr>
          <w:b w:val="0"/>
          <w:i w:val="0"/>
        </w:rPr>
        <w:t>The schedule produces billing and recognition transactions. Account numbers are never hard-coded; they come from effective-dated mappings:</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Entity + product + account role + effective date  -&gt;  account number</w:t>
        <w:br/>
      </w:r>
      <w:r>
        <w:rPr>
          <w:rFonts w:ascii="Consolas" w:hAnsi="Consolas"/>
          <w:color w:val="203020"/>
          <w:sz w:val="19"/>
        </w:rPr>
        <w:br/>
      </w:r>
      <w:r>
        <w:rPr>
          <w:rFonts w:ascii="Consolas" w:hAnsi="Consolas"/>
          <w:color w:val="203020"/>
          <w:sz w:val="19"/>
        </w:rPr>
        <w:t>Example Co + Subscription + Clearing  -&gt; 10999</w:t>
        <w:br/>
      </w:r>
      <w:r>
        <w:rPr>
          <w:rFonts w:ascii="Consolas" w:hAnsi="Consolas"/>
          <w:color w:val="203020"/>
          <w:sz w:val="19"/>
        </w:rPr>
        <w:t>Example Co + Subscription + Deferred  -&gt; 22100</w:t>
        <w:br/>
      </w:r>
      <w:r>
        <w:rPr>
          <w:rFonts w:ascii="Consolas" w:hAnsi="Consolas"/>
          <w:color w:val="203020"/>
          <w:sz w:val="19"/>
        </w:rPr>
        <w:t>Example Co + Subscription + Revenue   -&gt; 40110</w:t>
      </w:r>
    </w:p>
    <w:p>
      <w:pPr>
        <w:spacing w:after="120"/>
      </w:pPr>
      <w:r>
        <w:rPr>
          <w:b w:val="0"/>
          <w:i w:val="0"/>
        </w:rPr>
        <w:t>Effective dating matters because another entity, or the same entity next year, may use different account numbers.</w:t>
      </w:r>
    </w:p>
    <w:p>
      <w:pPr>
        <w:pStyle w:val="Heading3"/>
      </w:pPr>
      <w:r>
        <w:t>Step 6 — Build the waterfall and journals</w:t>
      </w:r>
    </w:p>
    <w:p>
      <w:pPr>
        <w:pStyle w:val="ListNumber"/>
        <w:spacing w:after="40"/>
      </w:pPr>
      <w:r>
        <w:t>Calculate each charge's monthly deferred roll-forward.</w:t>
      </w:r>
    </w:p>
    <w:p>
      <w:pPr>
        <w:pStyle w:val="ListNumber"/>
        <w:spacing w:after="40"/>
      </w:pPr>
      <w:r>
        <w:t>Aggregate detailed subledger lines into journal lines.</w:t>
      </w:r>
    </w:p>
    <w:p>
      <w:pPr>
        <w:pStyle w:val="ListNumber"/>
        <w:spacing w:after="40"/>
      </w:pPr>
      <w:r>
        <w:t>Create an allocation bridge from every journal line to its subledger entries.</w:t>
      </w:r>
    </w:p>
    <w:p>
      <w:pPr>
        <w:pStyle w:val="ListNumber"/>
        <w:spacing w:after="40"/>
      </w:pPr>
      <w:r>
        <w:t>Verify that debits equal credits.</w:t>
      </w:r>
    </w:p>
    <w:p>
      <w:pPr>
        <w:pStyle w:val="ListNumber"/>
        <w:spacing w:after="40"/>
      </w:pPr>
      <w:r>
        <w:t>Send the candidate journals to finance for approval.</w:t>
      </w:r>
    </w:p>
    <w:p>
      <w:pPr>
        <w:pBdr>
          <w:top w:val="single" w:sz="6" w:space="6" w:color="C9D2E0"/>
          <w:left w:val="single" w:sz="6" w:space="6" w:color="C9D2E0"/>
          <w:bottom w:val="single" w:sz="6" w:space="6" w:color="C9D2E0"/>
          <w:right w:val="single" w:sz="6" w:space="6" w:color="C9D2E0"/>
        </w:pBdr>
        <w:spacing w:after="160"/>
      </w:pPr>
    </w:p>
    <w:p>
      <w:pPr>
        <w:pStyle w:val="Heading1"/>
      </w:pPr>
      <w:r>
        <w:t>6. More worked examples</w:t>
      </w:r>
    </w:p>
    <w:p>
      <w:pPr>
        <w:spacing w:after="120"/>
      </w:pPr>
      <w:r>
        <w:rPr>
          <w:b w:val="0"/>
          <w:i w:val="0"/>
        </w:rPr>
        <w:t>These scenarios show how the same rules handle the messier cases that come up in practice.</w:t>
      </w:r>
    </w:p>
    <w:p>
      <w:pPr>
        <w:pStyle w:val="Heading3"/>
      </w:pPr>
      <w:r>
        <w:t>Example A — Mid-month start (proration)</w:t>
      </w:r>
    </w:p>
    <w:p>
      <w:pPr>
        <w:spacing w:after="120"/>
      </w:pPr>
      <w:r>
        <w:rPr>
          <w:b w:val="0"/>
          <w:i w:val="0"/>
        </w:rPr>
        <w:t>A customer is billed $300 for service from April 16 through April 30, which is 15 days. The daily rate is $20. All $300 is earned within April, so the deferred balance opens and closes at zero within the month even though billing and recognition both occur.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584"/>
          </w:tcPr>
          <w:p>
            <w:r/>
            <w:r>
              <w:rPr>
                <w:b/>
                <w:sz w:val="20"/>
              </w:rPr>
              <w:t>Month</w:t>
            </w:r>
          </w:p>
        </w:tc>
        <w:tc>
          <w:tcPr>
            <w:tcW w:type="dxa" w:w="2304"/>
          </w:tcPr>
          <w:p>
            <w:r/>
            <w:r>
              <w:rPr>
                <w:b/>
                <w:sz w:val="20"/>
              </w:rPr>
              <w:t>Opening deferred</w:t>
            </w:r>
          </w:p>
        </w:tc>
        <w:tc>
          <w:tcPr>
            <w:tcW w:type="dxa" w:w="1584"/>
          </w:tcPr>
          <w:p>
            <w:r/>
            <w:r>
              <w:rPr>
                <w:b/>
                <w:sz w:val="20"/>
              </w:rPr>
              <w:t>Billed</w:t>
            </w:r>
          </w:p>
        </w:tc>
        <w:tc>
          <w:tcPr>
            <w:tcW w:type="dxa" w:w="1584"/>
          </w:tcPr>
          <w:p>
            <w:r/>
            <w:r>
              <w:rPr>
                <w:b/>
                <w:sz w:val="20"/>
              </w:rPr>
              <w:t>Earned</w:t>
            </w:r>
          </w:p>
        </w:tc>
        <w:tc>
          <w:tcPr>
            <w:tcW w:type="dxa" w:w="2304"/>
          </w:tcPr>
          <w:p>
            <w:r/>
            <w:r>
              <w:rPr>
                <w:b/>
                <w:sz w:val="20"/>
              </w:rPr>
              <w:t>Closing deferred</w:t>
            </w:r>
          </w:p>
        </w:tc>
      </w:tr>
      <w:tr>
        <w:tc>
          <w:tcPr>
            <w:tcW w:type="dxa" w:w="1584"/>
          </w:tcPr>
          <w:p>
            <w:r/>
            <w:r>
              <w:rPr>
                <w:sz w:val="20"/>
              </w:rPr>
              <w:t>April</w:t>
            </w:r>
          </w:p>
        </w:tc>
        <w:tc>
          <w:tcPr>
            <w:tcW w:type="dxa" w:w="2304"/>
          </w:tcPr>
          <w:p>
            <w:r/>
            <w:r>
              <w:rPr>
                <w:sz w:val="20"/>
              </w:rPr>
              <w:t>$0</w:t>
            </w:r>
          </w:p>
        </w:tc>
        <w:tc>
          <w:tcPr>
            <w:tcW w:type="dxa" w:w="1584"/>
          </w:tcPr>
          <w:p>
            <w:r/>
            <w:r>
              <w:rPr>
                <w:sz w:val="20"/>
              </w:rPr>
              <w:t>$300</w:t>
            </w:r>
          </w:p>
        </w:tc>
        <w:tc>
          <w:tcPr>
            <w:tcW w:type="dxa" w:w="1584"/>
          </w:tcPr>
          <w:p>
            <w:r/>
            <w:r>
              <w:rPr>
                <w:sz w:val="20"/>
              </w:rPr>
              <w:t>$300</w:t>
            </w:r>
          </w:p>
        </w:tc>
        <w:tc>
          <w:tcPr>
            <w:tcW w:type="dxa" w:w="2304"/>
          </w:tcPr>
          <w:p>
            <w:r/>
            <w:r>
              <w:rPr>
                <w:sz w:val="20"/>
              </w:rPr>
              <w:t>$0</w:t>
            </w:r>
          </w:p>
        </w:tc>
      </w:tr>
    </w:tbl>
    <w:p>
      <w:pPr>
        <w:spacing w:after="40"/>
      </w:pPr>
    </w:p>
    <w:p>
      <w:pPr>
        <w:pStyle w:val="Heading3"/>
      </w:pPr>
      <w:r>
        <w:t>Example B — A refund</w:t>
      </w:r>
    </w:p>
    <w:p>
      <w:pPr>
        <w:spacing w:after="120"/>
      </w:pPr>
      <w:r>
        <w:rPr>
          <w:b w:val="0"/>
          <w:i w:val="0"/>
        </w:rPr>
        <w:t>A customer was billed $120 for a 12-month term ($10 per month) and cancels after 3 months, triggering a $90 refund for the 9 unused months. By the refund date, $30 has already been earned. The refund removes the remaining deferred balance and the clearing asset for the unused portion.</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Debit   22100 Deferred Revenue         90.00</w:t>
        <w:br/>
      </w:r>
      <w:r>
        <w:rPr>
          <w:rFonts w:ascii="Consolas" w:hAnsi="Consolas"/>
          <w:color w:val="203020"/>
          <w:sz w:val="19"/>
        </w:rPr>
        <w:t>Credit  10999 Processor Clearing       90.00</w:t>
      </w:r>
    </w:p>
    <w:p>
      <w:pPr>
        <w:spacing w:after="120"/>
      </w:pPr>
      <w:r>
        <w:rPr>
          <w:b w:val="0"/>
          <w:i w:val="0"/>
        </w:rPr>
        <w:t>No revenue is reversed because the $30 already earned is not being refunded. If the business instead refunded earned service, finance would specify a contra-revenue account.</w:t>
      </w:r>
    </w:p>
    <w:p>
      <w:pPr>
        <w:pStyle w:val="Heading3"/>
      </w:pPr>
      <w:r>
        <w:t>Example C — Multi-currency charge</w:t>
      </w:r>
    </w:p>
    <w:p>
      <w:pPr>
        <w:spacing w:after="120"/>
      </w:pPr>
      <w:r>
        <w:rPr>
          <w:b w:val="0"/>
          <w:i w:val="0"/>
        </w:rPr>
        <w:t>A EUR entity bills EUR 1,000. The subledger stores the amount in its source currency together with the entity's functional-currency conversion, the rate identity, and the rate's effective date. The journal is posted in the currency finance has configured for that entity; the conversion is reproducible from the stored rate.</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20"/>
              </w:rPr>
              <w:t>Field</w:t>
            </w:r>
          </w:p>
        </w:tc>
        <w:tc>
          <w:tcPr>
            <w:tcW w:type="dxa" w:w="4896"/>
          </w:tcPr>
          <w:p>
            <w:r/>
            <w:r>
              <w:rPr>
                <w:b/>
                <w:sz w:val="20"/>
              </w:rPr>
              <w:t>Value</w:t>
            </w:r>
          </w:p>
        </w:tc>
      </w:tr>
      <w:tr>
        <w:tc>
          <w:tcPr>
            <w:tcW w:type="dxa" w:w="3744"/>
          </w:tcPr>
          <w:p>
            <w:r/>
            <w:r>
              <w:rPr>
                <w:sz w:val="20"/>
              </w:rPr>
              <w:t>Source amount</w:t>
            </w:r>
          </w:p>
        </w:tc>
        <w:tc>
          <w:tcPr>
            <w:tcW w:type="dxa" w:w="4896"/>
          </w:tcPr>
          <w:p>
            <w:r/>
            <w:r>
              <w:rPr>
                <w:sz w:val="20"/>
              </w:rPr>
              <w:t>EUR 1,000.00</w:t>
            </w:r>
          </w:p>
        </w:tc>
      </w:tr>
      <w:tr>
        <w:tc>
          <w:tcPr>
            <w:tcW w:type="dxa" w:w="3744"/>
          </w:tcPr>
          <w:p>
            <w:r/>
            <w:r>
              <w:rPr>
                <w:sz w:val="20"/>
              </w:rPr>
              <w:t>Rate (EUR-&gt;USD), 2026-04-30</w:t>
            </w:r>
          </w:p>
        </w:tc>
        <w:tc>
          <w:tcPr>
            <w:tcW w:type="dxa" w:w="4896"/>
          </w:tcPr>
          <w:p>
            <w:r/>
            <w:r>
              <w:rPr>
                <w:sz w:val="20"/>
              </w:rPr>
              <w:t>1.08</w:t>
            </w:r>
          </w:p>
        </w:tc>
      </w:tr>
      <w:tr>
        <w:tc>
          <w:tcPr>
            <w:tcW w:type="dxa" w:w="3744"/>
          </w:tcPr>
          <w:p>
            <w:r/>
            <w:r>
              <w:rPr>
                <w:sz w:val="20"/>
              </w:rPr>
              <w:t>Converted amount</w:t>
            </w:r>
          </w:p>
        </w:tc>
        <w:tc>
          <w:tcPr>
            <w:tcW w:type="dxa" w:w="4896"/>
          </w:tcPr>
          <w:p>
            <w:r/>
            <w:r>
              <w:rPr>
                <w:sz w:val="20"/>
              </w:rPr>
              <w:t>USD 1,080.00</w:t>
            </w:r>
          </w:p>
        </w:tc>
      </w:tr>
      <w:tr>
        <w:tc>
          <w:tcPr>
            <w:tcW w:type="dxa" w:w="3744"/>
          </w:tcPr>
          <w:p>
            <w:r/>
            <w:r>
              <w:rPr>
                <w:sz w:val="20"/>
              </w:rPr>
              <w:t>Rate identity / version</w:t>
            </w:r>
          </w:p>
        </w:tc>
        <w:tc>
          <w:tcPr>
            <w:tcW w:type="dxa" w:w="4896"/>
          </w:tcPr>
          <w:p>
            <w:r/>
            <w:r>
              <w:rPr>
                <w:sz w:val="20"/>
              </w:rPr>
              <w:t>ecb_daily / 2026-04-30</w:t>
            </w:r>
          </w:p>
        </w:tc>
      </w:tr>
    </w:tbl>
    <w:p>
      <w:pPr>
        <w:spacing w:after="40"/>
      </w:pPr>
    </w:p>
    <w:p>
      <w:pPr>
        <w:pStyle w:val="Heading3"/>
      </w:pPr>
      <w:r>
        <w:t>Example D — SQL pseudocode for the monthly schedule</w:t>
      </w:r>
    </w:p>
    <w:p>
      <w:pPr>
        <w:spacing w:after="120"/>
      </w:pPr>
      <w:r>
        <w:rPr>
          <w:b w:val="0"/>
          <w:i w:val="0"/>
        </w:rPr>
        <w:t>Illustrative only; the exact dialect depends on the warehouse. It expands each charge into one row per service month with the earned amount.</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WITH months AS (</w:t>
        <w:br/>
      </w:r>
      <w:r>
        <w:rPr>
          <w:rFonts w:ascii="Consolas" w:hAnsi="Consolas"/>
          <w:color w:val="203020"/>
          <w:sz w:val="19"/>
        </w:rPr>
        <w:t xml:space="preserve">  SELECT charge_id,</w:t>
        <w:br/>
      </w:r>
      <w:r>
        <w:rPr>
          <w:rFonts w:ascii="Consolas" w:hAnsi="Consolas"/>
          <w:color w:val="203020"/>
          <w:sz w:val="19"/>
        </w:rPr>
        <w:t xml:space="preserve">         amount,</w:t>
        <w:br/>
      </w:r>
      <w:r>
        <w:rPr>
          <w:rFonts w:ascii="Consolas" w:hAnsi="Consolas"/>
          <w:color w:val="203020"/>
          <w:sz w:val="19"/>
        </w:rPr>
        <w:t xml:space="preserve">         service_start,</w:t>
        <w:br/>
      </w:r>
      <w:r>
        <w:rPr>
          <w:rFonts w:ascii="Consolas" w:hAnsi="Consolas"/>
          <w:color w:val="203020"/>
          <w:sz w:val="19"/>
        </w:rPr>
        <w:t xml:space="preserve">         service_end,</w:t>
        <w:br/>
      </w:r>
      <w:r>
        <w:rPr>
          <w:rFonts w:ascii="Consolas" w:hAnsi="Consolas"/>
          <w:color w:val="203020"/>
          <w:sz w:val="19"/>
        </w:rPr>
        <w:t xml:space="preserve">         DATE_TRUNC('month', d) AS period_month,</w:t>
        <w:br/>
      </w:r>
      <w:r>
        <w:rPr>
          <w:rFonts w:ascii="Consolas" w:hAnsi="Consolas"/>
          <w:color w:val="203020"/>
          <w:sz w:val="19"/>
        </w:rPr>
        <w:t xml:space="preserve">         COUNT(*) OVER (PARTITION BY charge_id)      AS total_days,</w:t>
        <w:br/>
      </w:r>
      <w:r>
        <w:rPr>
          <w:rFonts w:ascii="Consolas" w:hAnsi="Consolas"/>
          <w:color w:val="203020"/>
          <w:sz w:val="19"/>
        </w:rPr>
        <w:t xml:space="preserve">         COUNT(*) OVER (PARTITION BY charge_id,</w:t>
        <w:br/>
      </w:r>
      <w:r>
        <w:rPr>
          <w:rFonts w:ascii="Consolas" w:hAnsi="Consolas"/>
          <w:color w:val="203020"/>
          <w:sz w:val="19"/>
        </w:rPr>
        <w:t xml:space="preserve">                        DATE_TRUNC('month', d))      AS days_in_month</w:t>
        <w:br/>
      </w:r>
      <w:r>
        <w:rPr>
          <w:rFonts w:ascii="Consolas" w:hAnsi="Consolas"/>
          <w:color w:val="203020"/>
          <w:sz w:val="19"/>
        </w:rPr>
        <w:t xml:space="preserve">  FROM canonical_charges</w:t>
        <w:br/>
      </w:r>
      <w:r>
        <w:rPr>
          <w:rFonts w:ascii="Consolas" w:hAnsi="Consolas"/>
          <w:color w:val="203020"/>
          <w:sz w:val="19"/>
        </w:rPr>
        <w:t xml:space="preserve">  CROSS JOIN generate_days(service_start, service_end) AS d</w:t>
        <w:br/>
      </w:r>
      <w:r>
        <w:rPr>
          <w:rFonts w:ascii="Consolas" w:hAnsi="Consolas"/>
          <w:color w:val="203020"/>
          <w:sz w:val="19"/>
        </w:rPr>
        <w:t>)</w:t>
        <w:br/>
      </w:r>
      <w:r>
        <w:rPr>
          <w:rFonts w:ascii="Consolas" w:hAnsi="Consolas"/>
          <w:color w:val="203020"/>
          <w:sz w:val="19"/>
        </w:rPr>
        <w:t>SELECT charge_id,</w:t>
        <w:br/>
      </w:r>
      <w:r>
        <w:rPr>
          <w:rFonts w:ascii="Consolas" w:hAnsi="Consolas"/>
          <w:color w:val="203020"/>
          <w:sz w:val="19"/>
        </w:rPr>
        <w:t xml:space="preserve">       period_month,</w:t>
        <w:br/>
      </w:r>
      <w:r>
        <w:rPr>
          <w:rFonts w:ascii="Consolas" w:hAnsi="Consolas"/>
          <w:color w:val="203020"/>
          <w:sz w:val="19"/>
        </w:rPr>
        <w:t xml:space="preserve">       ROUND(amount * days_in_month / total_days, 2) AS earned_amount</w:t>
        <w:br/>
      </w:r>
      <w:r>
        <w:rPr>
          <w:rFonts w:ascii="Consolas" w:hAnsi="Consolas"/>
          <w:color w:val="203020"/>
          <w:sz w:val="19"/>
        </w:rPr>
        <w:t>FROM months</w:t>
        <w:br/>
      </w:r>
      <w:r>
        <w:rPr>
          <w:rFonts w:ascii="Consolas" w:hAnsi="Consolas"/>
          <w:color w:val="203020"/>
          <w:sz w:val="19"/>
        </w:rPr>
        <w:t>GROUP BY charge_id, period_month, amount, days_in_month, total_days;</w:t>
      </w:r>
    </w:p>
    <w:p>
      <w:pPr>
        <w:shd w:val="clear" w:color="auto" w:fill="EEF3FA"/>
        <w:pBdr>
          <w:left w:val="single" w:sz="4" w:space="6" w:color="1F4E79"/>
        </w:pBdr>
        <w:spacing w:before="80" w:after="160"/>
        <w:ind w:left="173"/>
      </w:pPr>
      <w:r>
        <w:rPr>
          <w:b/>
          <w:color w:val="1F4E79"/>
        </w:rPr>
        <w:t xml:space="preserve">Rounding note.  </w:t>
      </w:r>
      <w:r>
        <w:rPr>
          <w:color w:val="1A1A1A"/>
        </w:rPr>
        <w:t>Rounding each month independently can leave a one-cent gap. Allocate the residual to a chosen month (commonly the last) so the months sum to the exact charge amount.</w:t>
      </w:r>
    </w:p>
    <w:p>
      <w:pPr>
        <w:pBdr>
          <w:top w:val="single" w:sz="6" w:space="6" w:color="C9D2E0"/>
          <w:left w:val="single" w:sz="6" w:space="6" w:color="C9D2E0"/>
          <w:bottom w:val="single" w:sz="6" w:space="6" w:color="C9D2E0"/>
          <w:right w:val="single" w:sz="6" w:space="6" w:color="C9D2E0"/>
        </w:pBdr>
        <w:spacing w:after="160"/>
      </w:pPr>
    </w:p>
    <w:p>
      <w:pPr>
        <w:pStyle w:val="Heading1"/>
      </w:pPr>
      <w:r>
        <w:t>7. Replays, late events, and corrections</w:t>
      </w:r>
    </w:p>
    <w:p>
      <w:pPr>
        <w:spacing w:after="120"/>
      </w:pPr>
      <w:r>
        <w:rPr>
          <w:b w:val="0"/>
          <w:i w:val="0"/>
        </w:rPr>
        <w:t>These are the hardest parts of the design and where most mistakes happen.</w:t>
      </w:r>
    </w:p>
    <w:p>
      <w:pPr>
        <w:pStyle w:val="Heading3"/>
      </w:pPr>
      <w:r>
        <w:t>Replayed row</w:t>
      </w:r>
    </w:p>
    <w:p>
      <w:pPr>
        <w:spacing w:after="120"/>
      </w:pPr>
      <w:r>
        <w:rPr>
          <w:b w:val="0"/>
          <w:i w:val="0"/>
        </w:rPr>
        <w:t>If the source resends an identical event, nothing new should post:</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Same source_event_id + same version/content  -&gt;  no new accounting effect</w:t>
      </w:r>
    </w:p>
    <w:p>
      <w:pPr>
        <w:spacing w:after="120"/>
      </w:pPr>
      <w:r>
        <w:rPr>
          <w:b w:val="0"/>
          <w:i w:val="0"/>
        </w:rPr>
        <w:t>This property is idempotency: processing the same input any number of times yields the same result as processing it once.</w:t>
      </w:r>
    </w:p>
    <w:p>
      <w:pPr>
        <w:pStyle w:val="Heading3"/>
      </w:pPr>
      <w:r>
        <w:t>Corrected row</w:t>
      </w:r>
    </w:p>
    <w:p>
      <w:pPr>
        <w:spacing w:after="120"/>
      </w:pPr>
      <w:r>
        <w:rPr>
          <w:b w:val="0"/>
          <w:i w:val="0"/>
        </w:rPr>
        <w:t>Suppose a posted charge changes from $100 to $80. The system does not edit old records. It:</w:t>
      </w:r>
    </w:p>
    <w:p>
      <w:pPr>
        <w:pStyle w:val="ListNumber"/>
        <w:spacing w:after="40"/>
      </w:pPr>
      <w:r>
        <w:t>Recomputes the complete correct accounting for that charge.</w:t>
      </w:r>
    </w:p>
    <w:p>
      <w:pPr>
        <w:pStyle w:val="ListNumber"/>
        <w:spacing w:after="40"/>
      </w:pPr>
      <w:r>
        <w:t>Compares it with what has already been posted.</w:t>
      </w:r>
    </w:p>
    <w:p>
      <w:pPr>
        <w:pStyle w:val="ListNumber"/>
        <w:spacing w:after="40"/>
      </w:pPr>
      <w:r>
        <w:t>Posts only the $20 difference.</w:t>
      </w:r>
    </w:p>
    <w:p>
      <w:pPr>
        <w:spacing w:after="120"/>
      </w:pPr>
      <w:r>
        <w:rPr>
          <w:b w:val="0"/>
          <w:i w:val="0"/>
        </w:rPr>
        <w:t>This is desired-state differencing:</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Correction to post = newly desired accounting - accounting already posted</w:t>
      </w:r>
    </w:p>
    <w:p>
      <w:pPr>
        <w:spacing w:after="120"/>
      </w:pPr>
      <w:r>
        <w:rPr>
          <w:b w:val="0"/>
          <w:i w:val="0"/>
        </w:rPr>
        <w:t>If the original $100 was fully recognized, the correction reverses $20 of both billing and revenue, leaving the net deferred balance unchanged:</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Debit   22100 Deferred Revenue         20.00</w:t>
        <w:br/>
      </w:r>
      <w:r>
        <w:rPr>
          <w:rFonts w:ascii="Consolas" w:hAnsi="Consolas"/>
          <w:color w:val="203020"/>
          <w:sz w:val="19"/>
        </w:rPr>
        <w:t>Credit  10999 Processor Clearing       20.00</w:t>
        <w:br/>
      </w:r>
      <w:r>
        <w:rPr>
          <w:rFonts w:ascii="Consolas" w:hAnsi="Consolas"/>
          <w:color w:val="203020"/>
          <w:sz w:val="19"/>
        </w:rPr>
        <w:br/>
      </w:r>
      <w:r>
        <w:rPr>
          <w:rFonts w:ascii="Consolas" w:hAnsi="Consolas"/>
          <w:color w:val="203020"/>
          <w:sz w:val="19"/>
        </w:rPr>
        <w:t>Debit   40110 Subscription Revenue     20.00</w:t>
        <w:br/>
      </w:r>
      <w:r>
        <w:rPr>
          <w:rFonts w:ascii="Consolas" w:hAnsi="Consolas"/>
          <w:color w:val="203020"/>
          <w:sz w:val="19"/>
        </w:rPr>
        <w:t>Credit  22100 Deferred Revenue         20.00</w:t>
      </w:r>
    </w:p>
    <w:p>
      <w:pPr>
        <w:pStyle w:val="Heading3"/>
      </w:pPr>
      <w:r>
        <w:t>Late event</w:t>
      </w:r>
    </w:p>
    <w:p>
      <w:pPr>
        <w:spacing w:after="120"/>
      </w:pPr>
      <w:r>
        <w:rPr>
          <w:b w:val="0"/>
          <w:i w:val="0"/>
        </w:rPr>
        <w:t>A late event is placed by its economic service dates, not by its arrival date.</w:t>
      </w:r>
    </w:p>
    <w:p>
      <w:pPr>
        <w:pStyle w:val="ListBullet"/>
        <w:spacing w:after="40"/>
      </w:pPr>
      <w:r>
        <w:t>Open period: include it in that period, or post an open-period adjustment.</w:t>
      </w:r>
    </w:p>
    <w:p>
      <w:pPr>
        <w:pStyle w:val="ListBullet"/>
        <w:spacing w:after="40"/>
      </w:pPr>
      <w:r>
        <w:t>Closed period: follow the finance-approved policy — restate the old period, or post a catch-up in the current period.</w:t>
      </w:r>
    </w:p>
    <w:p>
      <w:pPr>
        <w:shd w:val="clear" w:color="auto" w:fill="FBE9E7"/>
        <w:pBdr>
          <w:left w:val="single" w:sz="4" w:space="6" w:color="B22222"/>
        </w:pBdr>
        <w:spacing w:before="80" w:after="160"/>
        <w:ind w:left="173"/>
      </w:pPr>
      <w:r>
        <w:rPr>
          <w:b/>
          <w:color w:val="1F4E79"/>
        </w:rPr>
        <w:t xml:space="preserve">Hard rule.  </w:t>
      </w:r>
      <w:r>
        <w:rPr>
          <w:color w:val="1A1A1A"/>
        </w:rPr>
        <w:t>The pipeline must never silently modify a journal that belongs to a closed period.</w:t>
      </w:r>
    </w:p>
    <w:p>
      <w:pPr>
        <w:pStyle w:val="Heading3"/>
      </w:pPr>
      <w:r>
        <w:t>Deleted source row</w:t>
      </w:r>
    </w:p>
    <w:p>
      <w:pPr>
        <w:spacing w:after="120"/>
      </w:pPr>
      <w:r>
        <w:rPr>
          <w:b w:val="0"/>
          <w:i w:val="0"/>
        </w:rPr>
        <w:t>An incremental reader cannot detect a deletion on its own. The source contract must provide one of:</w:t>
      </w:r>
    </w:p>
    <w:p>
      <w:pPr>
        <w:pStyle w:val="ListBullet"/>
        <w:spacing w:after="40"/>
      </w:pPr>
      <w:r>
        <w:t>a deletion or tombstone event, or</w:t>
      </w:r>
    </w:p>
    <w:p>
      <w:pPr>
        <w:pStyle w:val="ListBullet"/>
        <w:spacing w:after="40"/>
      </w:pPr>
      <w:r>
        <w:t>a complete, repeatable snapshot that can be compared against the previous snapshot.</w:t>
      </w:r>
    </w:p>
    <w:p>
      <w:pPr>
        <w:pBdr>
          <w:top w:val="single" w:sz="6" w:space="6" w:color="C9D2E0"/>
          <w:left w:val="single" w:sz="6" w:space="6" w:color="C9D2E0"/>
          <w:bottom w:val="single" w:sz="6" w:space="6" w:color="C9D2E0"/>
          <w:right w:val="single" w:sz="6" w:space="6" w:color="C9D2E0"/>
        </w:pBdr>
        <w:spacing w:after="160"/>
      </w:pPr>
    </w:p>
    <w:p>
      <w:pPr>
        <w:pStyle w:val="Heading1"/>
      </w:pPr>
      <w:r>
        <w:t>8. Reconciliation and posting controls</w:t>
      </w:r>
    </w:p>
    <w:p>
      <w:pPr>
        <w:spacing w:after="120"/>
      </w:pPr>
      <w:r>
        <w:rPr>
          <w:b w:val="0"/>
          <w:i w:val="0"/>
        </w:rPr>
        <w:t>A journal is posted only after every check below passes:</w:t>
      </w:r>
    </w:p>
    <w:p>
      <w:pPr>
        <w:pStyle w:val="ListNumber"/>
        <w:spacing w:after="40"/>
      </w:pPr>
      <w:r>
        <w:t>Source rows = accepted rows + quarantined rows.</w:t>
      </w:r>
    </w:p>
    <w:p>
      <w:pPr>
        <w:pStyle w:val="ListNumber"/>
        <w:spacing w:after="40"/>
      </w:pPr>
      <w:r>
        <w:t>Every accepted event resolves to exactly one canonical version.</w:t>
      </w:r>
    </w:p>
    <w:p>
      <w:pPr>
        <w:pStyle w:val="ListNumber"/>
        <w:spacing w:after="40"/>
      </w:pPr>
      <w:r>
        <w:t>Every charge equals the sum of its revenue schedule.</w:t>
      </w:r>
    </w:p>
    <w:p>
      <w:pPr>
        <w:pStyle w:val="ListNumber"/>
        <w:spacing w:after="40"/>
      </w:pPr>
      <w:r>
        <w:t>Every subledger transaction balances (debits = credits).</w:t>
      </w:r>
    </w:p>
    <w:p>
      <w:pPr>
        <w:pStyle w:val="ListNumber"/>
        <w:spacing w:after="40"/>
      </w:pPr>
      <w:r>
        <w:t>Every charge satisfies the deferred-revenue equation.</w:t>
      </w:r>
    </w:p>
    <w:p>
      <w:pPr>
        <w:pStyle w:val="ListNumber"/>
        <w:spacing w:after="40"/>
      </w:pPr>
      <w:r>
        <w:t>Summary journals equal the detailed subledger.</w:t>
      </w:r>
    </w:p>
    <w:p>
      <w:pPr>
        <w:pStyle w:val="ListNumber"/>
        <w:spacing w:after="40"/>
      </w:pPr>
      <w:r>
        <w:t>Allocation rows equal their journal-line amounts.</w:t>
      </w:r>
    </w:p>
    <w:p>
      <w:pPr>
        <w:pStyle w:val="ListNumber"/>
        <w:spacing w:after="40"/>
      </w:pPr>
      <w:r>
        <w:t>Every journal reference balances by entity and currency.</w:t>
      </w:r>
    </w:p>
    <w:p>
      <w:pPr>
        <w:pStyle w:val="ListNumber"/>
        <w:spacing w:after="40"/>
      </w:pPr>
      <w:r>
        <w:t>Every account mapping is present and unambiguous.</w:t>
      </w:r>
    </w:p>
    <w:p>
      <w:pPr>
        <w:pStyle w:val="ListNumber"/>
        <w:spacing w:after="40"/>
      </w:pPr>
      <w:r>
        <w:t>The change in account 22100 matches the waterfall's change in deferred revenue.</w:t>
      </w:r>
    </w:p>
    <w:p>
      <w:pPr>
        <w:shd w:val="clear" w:color="auto" w:fill="EEF3FA"/>
        <w:pBdr>
          <w:left w:val="single" w:sz="4" w:space="6" w:color="1F4E79"/>
        </w:pBdr>
        <w:spacing w:before="80" w:after="160"/>
        <w:ind w:left="173"/>
      </w:pPr>
      <w:r>
        <w:rPr>
          <w:b/>
          <w:color w:val="1F4E79"/>
        </w:rPr>
        <w:t xml:space="preserve">The point of these controls.  </w:t>
      </w:r>
      <w:r>
        <w:rPr>
          <w:color w:val="1A1A1A"/>
        </w:rPr>
        <w:t>They are what make the pipeline trustworthy for finance. A run finishing without an error is not proof that the accounting is correct.</w:t>
      </w:r>
    </w:p>
    <w:p>
      <w:pPr>
        <w:pBdr>
          <w:top w:val="single" w:sz="6" w:space="6" w:color="C9D2E0"/>
          <w:left w:val="single" w:sz="6" w:space="6" w:color="C9D2E0"/>
          <w:bottom w:val="single" w:sz="6" w:space="6" w:color="C9D2E0"/>
          <w:right w:val="single" w:sz="6" w:space="6" w:color="C9D2E0"/>
        </w:pBdr>
        <w:spacing w:after="160"/>
      </w:pPr>
    </w:p>
    <w:p>
      <w:pPr>
        <w:pStyle w:val="Heading1"/>
      </w:pPr>
      <w:r>
        <w:t>9. The Campfire upload workflow</w:t>
      </w:r>
    </w:p>
    <w:p>
      <w:pPr>
        <w:spacing w:after="120"/>
      </w:pPr>
      <w:r>
        <w:rPr>
          <w:b w:val="0"/>
          <w:i w:val="0"/>
        </w:rPr>
        <w:t>Campfire exposes a CSV bulk-upload API. After validation and finance approval, the pipeline:</w:t>
      </w:r>
    </w:p>
    <w:p>
      <w:pPr>
        <w:pStyle w:val="ListNumber"/>
        <w:spacing w:after="40"/>
      </w:pPr>
      <w:r>
        <w:t>Generates the final CSV.</w:t>
      </w:r>
    </w:p>
    <w:p>
      <w:pPr>
        <w:pStyle w:val="ListNumber"/>
        <w:spacing w:after="40"/>
      </w:pPr>
      <w:r>
        <w:t>Saves its checksum so the exact approved bytes are known.</w:t>
      </w:r>
    </w:p>
    <w:p>
      <w:pPr>
        <w:pStyle w:val="ListNumber"/>
        <w:spacing w:after="40"/>
      </w:pPr>
      <w:r>
        <w:t>Requests a batch, then immediately stores the returned batch_job_id.</w:t>
      </w:r>
    </w:p>
    <w:p>
      <w:pPr>
        <w:pStyle w:val="ListNumber"/>
        <w:spacing w:after="40"/>
      </w:pPr>
      <w:r>
        <w:t>Uploads the CSV to the presigned URL.</w:t>
      </w:r>
    </w:p>
    <w:p>
      <w:pPr>
        <w:pStyle w:val="ListNumber"/>
        <w:spacing w:after="40"/>
      </w:pPr>
      <w:r>
        <w:t>Starts the batch.</w:t>
      </w:r>
    </w:p>
    <w:p>
      <w:pPr>
        <w:pStyle w:val="ListNumber"/>
        <w:spacing w:after="40"/>
      </w:pPr>
      <w:r>
        <w:t>Polls its status.</w:t>
      </w:r>
    </w:p>
    <w:p>
      <w:pPr>
        <w:pStyle w:val="ListNumber"/>
        <w:spacing w:after="40"/>
      </w:pPr>
      <w:r>
        <w:t>Retrieves row-level errors if it fails.</w:t>
      </w:r>
    </w:p>
    <w:p>
      <w:pPr>
        <w:pStyle w:val="ListNumber"/>
        <w:spacing w:after="40"/>
      </w:pPr>
      <w:r>
        <w:t>Records the final batch status and reconciles the posted totals.</w:t>
      </w:r>
    </w:p>
    <w:p>
      <w:pPr>
        <w:spacing w:after="120"/>
      </w:pPr>
      <w:r>
        <w:rPr>
          <w:b/>
          <w:i w:val="0"/>
        </w:rPr>
        <w:t>The API calls:</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POST /coa/api/journal-entries/bulk-upload</w:t>
        <w:br/>
      </w:r>
      <w:r>
        <w:rPr>
          <w:rFonts w:ascii="Consolas" w:hAnsi="Consolas"/>
          <w:color w:val="203020"/>
          <w:sz w:val="19"/>
        </w:rPr>
        <w:t xml:space="preserve">      body: {"filename":"subscription_journals_2026-04.csv"}</w:t>
        <w:br/>
      </w:r>
      <w:r>
        <w:rPr>
          <w:rFonts w:ascii="Consolas" w:hAnsi="Consolas"/>
          <w:color w:val="203020"/>
          <w:sz w:val="19"/>
        </w:rPr>
        <w:t xml:space="preserve">      returns: batch_job_id, upload_url (presigned)</w:t>
        <w:br/>
      </w:r>
      <w:r>
        <w:rPr>
          <w:rFonts w:ascii="Consolas" w:hAnsi="Consolas"/>
          <w:color w:val="203020"/>
          <w:sz w:val="19"/>
        </w:rPr>
        <w:br/>
      </w:r>
      <w:r>
        <w:rPr>
          <w:rFonts w:ascii="Consolas" w:hAnsi="Consolas"/>
          <w:color w:val="203020"/>
          <w:sz w:val="19"/>
        </w:rPr>
        <w:t>PUT  &lt;upload_url&gt;            Content-Type: text/csv</w:t>
        <w:br/>
      </w:r>
      <w:r>
        <w:rPr>
          <w:rFonts w:ascii="Consolas" w:hAnsi="Consolas"/>
          <w:color w:val="203020"/>
          <w:sz w:val="19"/>
        </w:rPr>
        <w:br/>
      </w:r>
      <w:r>
        <w:rPr>
          <w:rFonts w:ascii="Consolas" w:hAnsi="Consolas"/>
          <w:color w:val="203020"/>
          <w:sz w:val="19"/>
        </w:rPr>
        <w:t>POST /coa/api/journal-entries/bulk-upload/{batch_job_id}/start   {}</w:t>
        <w:br/>
      </w:r>
      <w:r>
        <w:rPr>
          <w:rFonts w:ascii="Consolas" w:hAnsi="Consolas"/>
          <w:color w:val="203020"/>
          <w:sz w:val="19"/>
        </w:rPr>
        <w:t>GET  /coa/api/journal-entries/bulk-upload/{batch_job_id}</w:t>
        <w:br/>
      </w:r>
      <w:r>
        <w:rPr>
          <w:rFonts w:ascii="Consolas" w:hAnsi="Consolas"/>
          <w:color w:val="203020"/>
          <w:sz w:val="19"/>
        </w:rPr>
        <w:t>GET  /coa/api/journal-entries/bulk-upload/{batch_job_id}/errors</w:t>
      </w:r>
    </w:p>
    <w:p>
      <w:pPr>
        <w:pStyle w:val="Heading3"/>
      </w:pPr>
      <w:r>
        <w:t>Example subscription journal CSV</w:t>
      </w:r>
    </w:p>
    <w:p>
      <w:pPr>
        <w:spacing w:after="120"/>
      </w:pPr>
      <w:r>
        <w:rPr>
          <w:b w:val="0"/>
          <w:i w:val="0"/>
        </w:rPr>
        <w:t>The columns are: Entity, Reference Number, Type, Memo, Date, Account Number, Currency (optional), Debit, Credit, Description. Below is April's summarized billing and recognition journal for the $610 example.</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Entity,Reference Number,Type,Memo,Date,Account Number,Currency,Debit,Credit,Description</w:t>
        <w:br/>
      </w:r>
      <w:r>
        <w:rPr>
          <w:rFonts w:ascii="Consolas" w:hAnsi="Consolas"/>
          <w:color w:val="203020"/>
          <w:sz w:val="19"/>
        </w:rPr>
        <w:t>Example Co,SUBS-BILL-202604,Journal Entry,Subscription billing,2026-04-30,10999,USD,610.00,,Processor clearing</w:t>
        <w:br/>
      </w:r>
      <w:r>
        <w:rPr>
          <w:rFonts w:ascii="Consolas" w:hAnsi="Consolas"/>
          <w:color w:val="203020"/>
          <w:sz w:val="19"/>
        </w:rPr>
        <w:t>Example Co,SUBS-BILL-202604,Journal Entry,Subscription billing,2026-04-30,22100,USD,,610.00,Deferred revenue</w:t>
        <w:br/>
      </w:r>
      <w:r>
        <w:rPr>
          <w:rFonts w:ascii="Consolas" w:hAnsi="Consolas"/>
          <w:color w:val="203020"/>
          <w:sz w:val="19"/>
        </w:rPr>
        <w:t>Example Co,SUBS-REV-202604,Journal Entry,Subscription revenue,2026-04-30,22100,USD,300.00,,Recognize April service</w:t>
        <w:br/>
      </w:r>
      <w:r>
        <w:rPr>
          <w:rFonts w:ascii="Consolas" w:hAnsi="Consolas"/>
          <w:color w:val="203020"/>
          <w:sz w:val="19"/>
        </w:rPr>
        <w:t>Example Co,SUBS-REV-202604,Journal Entry,Subscription revenue,2026-04-30,40110,USD,,300.00,Subscription revenue</w:t>
      </w:r>
    </w:p>
    <w:p>
      <w:pPr>
        <w:shd w:val="clear" w:color="auto" w:fill="FBE9E7"/>
        <w:pBdr>
          <w:left w:val="single" w:sz="4" w:space="6" w:color="B22222"/>
        </w:pBdr>
        <w:spacing w:before="80" w:after="160"/>
        <w:ind w:left="173"/>
      </w:pPr>
      <w:r>
        <w:rPr>
          <w:b/>
          <w:color w:val="1F4E79"/>
        </w:rPr>
        <w:t xml:space="preserve">Idempotency risk on upload.  </w:t>
      </w:r>
      <w:r>
        <w:rPr>
          <w:color w:val="1A1A1A"/>
        </w:rPr>
        <w:t>The API does not mention an idempotency key. If the first POST succeeds remotely but the response is lost, a blind retry could create a second batch. Treat that case as ambiguous: check Campfire first, and only retry after proving the first request did not succeed. Ideally Campfire would accept a client batch id or a lookup by filename.</w:t>
      </w:r>
    </w:p>
    <w:p>
      <w:pPr>
        <w:pBdr>
          <w:top w:val="single" w:sz="6" w:space="6" w:color="C9D2E0"/>
          <w:left w:val="single" w:sz="6" w:space="6" w:color="C9D2E0"/>
          <w:bottom w:val="single" w:sz="6" w:space="6" w:color="C9D2E0"/>
          <w:right w:val="single" w:sz="6" w:space="6" w:color="C9D2E0"/>
        </w:pBdr>
        <w:spacing w:after="160"/>
      </w:pPr>
    </w:p>
    <w:p>
      <w:pPr>
        <w:pStyle w:val="Heading1"/>
      </w:pPr>
      <w:r>
        <w:t>10. Choosing a processing model</w:t>
      </w:r>
    </w:p>
    <w:p>
      <w:pPr>
        <w:spacing w:after="120"/>
      </w:pPr>
      <w:r>
        <w:rPr>
          <w:b w:val="0"/>
          <w:i w:val="0"/>
        </w:rPr>
        <w:t>Events can be ingested hourly or daily, but the authoritative output is monthly. A batch-oriented accounting process is preferable because it is:</w:t>
      </w:r>
    </w:p>
    <w:p>
      <w:pPr>
        <w:pStyle w:val="ListBullet"/>
        <w:spacing w:after="40"/>
      </w:pPr>
      <w:r>
        <w:t>simpler to reconcile</w:t>
      </w:r>
    </w:p>
    <w:p>
      <w:pPr>
        <w:pStyle w:val="ListBullet"/>
        <w:spacing w:after="40"/>
      </w:pPr>
      <w:r>
        <w:t>easier to replay</w:t>
      </w:r>
    </w:p>
    <w:p>
      <w:pPr>
        <w:pStyle w:val="ListBullet"/>
        <w:spacing w:after="40"/>
      </w:pPr>
      <w:r>
        <w:t>easier to approve</w:t>
      </w:r>
    </w:p>
    <w:p>
      <w:pPr>
        <w:pStyle w:val="ListBullet"/>
        <w:spacing w:after="40"/>
      </w:pPr>
      <w:r>
        <w:t>less expensive to operate</w:t>
      </w:r>
    </w:p>
    <w:p>
      <w:pPr>
        <w:pStyle w:val="ListBullet"/>
        <w:spacing w:after="40"/>
      </w:pPr>
      <w:r>
        <w:t>better aligned with the financial close</w:t>
      </w:r>
    </w:p>
    <w:p>
      <w:pPr>
        <w:spacing w:after="120"/>
      </w:pPr>
      <w:r>
        <w:rPr>
          <w:b w:val="0"/>
          <w:i w:val="0"/>
        </w:rPr>
        <w:t>Streaming would be justified only if a named consumer required continuously updated provisional revenue.</w:t>
      </w:r>
    </w:p>
    <w:p>
      <w:pPr>
        <w:pBdr>
          <w:top w:val="single" w:sz="6" w:space="6" w:color="C9D2E0"/>
          <w:left w:val="single" w:sz="6" w:space="6" w:color="C9D2E0"/>
          <w:bottom w:val="single" w:sz="6" w:space="6" w:color="C9D2E0"/>
          <w:right w:val="single" w:sz="6" w:space="6" w:color="C9D2E0"/>
        </w:pBdr>
        <w:spacing w:after="160"/>
      </w:pPr>
    </w:p>
    <w:p>
      <w:pPr>
        <w:pStyle w:val="Heading1"/>
      </w:pPr>
      <w:r>
        <w:t>11. A reusable multi-customer framework</w:t>
      </w:r>
    </w:p>
    <w:p>
      <w:pPr>
        <w:spacing w:after="120"/>
      </w:pPr>
      <w:r>
        <w:rPr>
          <w:b w:val="0"/>
          <w:i w:val="0"/>
        </w:rPr>
        <w:t>Assume Campfire must onboard many customers. Their sources may be Snowflake views, ERP APIs, or files, and their subscription fields, products, account mappings, and correction behavior all differ. The framework separates common accounting behavior from customer-specific configuration.</w:t>
      </w:r>
    </w:p>
    <w:p>
      <w:pPr>
        <w:pStyle w:val="Heading3"/>
      </w:pPr>
      <w:r>
        <w:t>Common to every customer</w:t>
      </w:r>
    </w:p>
    <w:p>
      <w:pPr>
        <w:spacing w:after="120"/>
      </w:pPr>
      <w:r>
        <w:rPr>
          <w:b w:val="0"/>
          <w:i w:val="0"/>
        </w:rPr>
        <w:t>Built once as shared platform components:</w:t>
      </w:r>
    </w:p>
    <w:p>
      <w:pPr>
        <w:pStyle w:val="ListBullet"/>
        <w:spacing w:after="40"/>
      </w:pPr>
      <w:r>
        <w:t>Snowflake / API / file connector interfaces</w:t>
      </w:r>
    </w:p>
    <w:p>
      <w:pPr>
        <w:pStyle w:val="ListBullet"/>
        <w:spacing w:after="40"/>
      </w:pPr>
      <w:r>
        <w:t>immutable raw storage</w:t>
      </w:r>
    </w:p>
    <w:p>
      <w:pPr>
        <w:pStyle w:val="ListBullet"/>
        <w:spacing w:after="40"/>
      </w:pPr>
      <w:r>
        <w:t>source versioning and replay handling</w:t>
      </w:r>
    </w:p>
    <w:p>
      <w:pPr>
        <w:pStyle w:val="ListBullet"/>
        <w:spacing w:after="40"/>
      </w:pPr>
      <w:r>
        <w:t>canonical billing-event model</w:t>
      </w:r>
    </w:p>
    <w:p>
      <w:pPr>
        <w:pStyle w:val="ListBullet"/>
        <w:spacing w:after="40"/>
      </w:pPr>
      <w:r>
        <w:t>revenue-schedule engine</w:t>
      </w:r>
    </w:p>
    <w:p>
      <w:pPr>
        <w:pStyle w:val="ListBullet"/>
        <w:spacing w:after="40"/>
      </w:pPr>
      <w:r>
        <w:t>double-entry subledger</w:t>
      </w:r>
    </w:p>
    <w:p>
      <w:pPr>
        <w:pStyle w:val="ListBullet"/>
        <w:spacing w:after="40"/>
      </w:pPr>
      <w:r>
        <w:t>correction-difference engine</w:t>
      </w:r>
    </w:p>
    <w:p>
      <w:pPr>
        <w:pStyle w:val="ListBullet"/>
        <w:spacing w:after="40"/>
      </w:pPr>
      <w:r>
        <w:t>waterfall generation</w:t>
      </w:r>
    </w:p>
    <w:p>
      <w:pPr>
        <w:pStyle w:val="ListBullet"/>
        <w:spacing w:after="40"/>
      </w:pPr>
      <w:r>
        <w:t>journal aggregation</w:t>
      </w:r>
    </w:p>
    <w:p>
      <w:pPr>
        <w:pStyle w:val="ListBullet"/>
        <w:spacing w:after="40"/>
      </w:pPr>
      <w:r>
        <w:t>reconciliation framework</w:t>
      </w:r>
    </w:p>
    <w:p>
      <w:pPr>
        <w:pStyle w:val="ListBullet"/>
        <w:spacing w:after="40"/>
      </w:pPr>
      <w:r>
        <w:t>Campfire uploader</w:t>
      </w:r>
    </w:p>
    <w:p>
      <w:pPr>
        <w:pStyle w:val="ListBullet"/>
        <w:spacing w:after="40"/>
      </w:pPr>
      <w:r>
        <w:t>lineage, monitoring, access control, and audit logs</w:t>
      </w:r>
    </w:p>
    <w:p>
      <w:pPr>
        <w:pStyle w:val="Heading3"/>
      </w:pPr>
      <w:r>
        <w:t>Customer-specific</w:t>
      </w:r>
    </w:p>
    <w:p>
      <w:pPr>
        <w:spacing w:after="120"/>
      </w:pPr>
      <w:r>
        <w:rPr>
          <w:b w:val="0"/>
          <w:i w:val="0"/>
        </w:rPr>
        <w:t>Supplied as versioned configuration per customer:</w:t>
      </w:r>
    </w:p>
    <w:p>
      <w:pPr>
        <w:pStyle w:val="ListBullet"/>
        <w:spacing w:after="40"/>
      </w:pPr>
      <w:r>
        <w:t>source location and authentication</w:t>
      </w:r>
    </w:p>
    <w:p>
      <w:pPr>
        <w:pStyle w:val="ListBullet"/>
        <w:spacing w:after="40"/>
      </w:pPr>
      <w:r>
        <w:t>field mappings</w:t>
      </w:r>
    </w:p>
    <w:p>
      <w:pPr>
        <w:pStyle w:val="ListBullet"/>
        <w:spacing w:after="40"/>
      </w:pPr>
      <w:r>
        <w:t>event-type meanings and sign conventions</w:t>
      </w:r>
    </w:p>
    <w:p>
      <w:pPr>
        <w:pStyle w:val="ListBullet"/>
        <w:spacing w:after="40"/>
      </w:pPr>
      <w:r>
        <w:t>source cursor and correction behavior</w:t>
      </w:r>
    </w:p>
    <w:p>
      <w:pPr>
        <w:pStyle w:val="ListBullet"/>
        <w:spacing w:after="40"/>
      </w:pPr>
      <w:r>
        <w:t>service-date interpretation</w:t>
      </w:r>
    </w:p>
    <w:p>
      <w:pPr>
        <w:pStyle w:val="ListBullet"/>
        <w:spacing w:after="40"/>
      </w:pPr>
      <w:r>
        <w:t>revenue-recognition policy</w:t>
      </w:r>
    </w:p>
    <w:p>
      <w:pPr>
        <w:pStyle w:val="ListBullet"/>
        <w:spacing w:after="40"/>
      </w:pPr>
      <w:r>
        <w:t>entity and product mappings</w:t>
      </w:r>
    </w:p>
    <w:p>
      <w:pPr>
        <w:pStyle w:val="ListBullet"/>
        <w:spacing w:after="40"/>
      </w:pPr>
      <w:r>
        <w:t>account numbers</w:t>
      </w:r>
    </w:p>
    <w:p>
      <w:pPr>
        <w:pStyle w:val="ListBullet"/>
        <w:spacing w:after="40"/>
      </w:pPr>
      <w:r>
        <w:t>currencies and exchange-rate policy</w:t>
      </w:r>
    </w:p>
    <w:p>
      <w:pPr>
        <w:pStyle w:val="ListBullet"/>
        <w:spacing w:after="40"/>
      </w:pPr>
      <w:r>
        <w:t>closed-period correction policy</w:t>
      </w:r>
    </w:p>
    <w:p>
      <w:pPr>
        <w:pStyle w:val="ListBullet"/>
        <w:spacing w:after="40"/>
      </w:pPr>
      <w:r>
        <w:t>materiality and quality thresholds</w:t>
      </w:r>
    </w:p>
    <w:p>
      <w:pPr>
        <w:pStyle w:val="ListBullet"/>
        <w:spacing w:after="40"/>
      </w:pPr>
      <w:r>
        <w:t>approval roles</w:t>
      </w:r>
    </w:p>
    <w:p>
      <w:pPr>
        <w:spacing w:after="120"/>
      </w:pPr>
      <w:r>
        <w:rPr>
          <w:b w:val="0"/>
          <w:i w:val="0"/>
        </w:rPr>
        <w:t>The same text means different things for different customers, which is exactly why event semantics belong in configuration:</w:t>
      </w:r>
    </w:p>
    <w:p>
      <w:pPr>
        <w:spacing w:before="80" w:after="160"/>
        <w:ind w:left="144"/>
        <w:shd w:val="clear" w:color="auto" w:fill="F2F4F2"/>
        <w:pBdr>
          <w:top w:val="single" w:sz="8" w:space="6" w:color="D7DED7"/>
          <w:left w:val="single" w:sz="8" w:space="6" w:color="D7DED7"/>
          <w:bottom w:val="single" w:sz="8" w:space="6" w:color="D7DED7"/>
          <w:right w:val="single" w:sz="8" w:space="6" w:color="D7DED7"/>
        </w:pBdr>
      </w:pPr>
      <w:r>
        <w:rPr>
          <w:rFonts w:ascii="Consolas" w:hAnsi="Consolas"/>
          <w:color w:val="203020"/>
          <w:sz w:val="19"/>
        </w:rPr>
        <w:t>Customer A  "CHARGE"          -&gt; positive settled billing</w:t>
        <w:br/>
      </w:r>
      <w:r>
        <w:rPr>
          <w:rFonts w:ascii="Consolas" w:hAnsi="Consolas"/>
          <w:color w:val="203020"/>
          <w:sz w:val="19"/>
        </w:rPr>
        <w:t>Customer B  "INVOICE_CREATED" -&gt; accounts-receivable billing</w:t>
        <w:br/>
      </w:r>
      <w:r>
        <w:rPr>
          <w:rFonts w:ascii="Consolas" w:hAnsi="Consolas"/>
          <w:color w:val="203020"/>
          <w:sz w:val="19"/>
        </w:rPr>
        <w:t>Customer C  "PAYMENT"         -&gt; cash settlement, not a revenue event</w:t>
      </w:r>
    </w:p>
    <w:p>
      <w:pPr>
        <w:shd w:val="clear" w:color="auto" w:fill="EEF3FA"/>
        <w:pBdr>
          <w:left w:val="single" w:sz="4" w:space="6" w:color="1F4E79"/>
        </w:pBdr>
        <w:spacing w:before="80" w:after="160"/>
        <w:ind w:left="173"/>
      </w:pPr>
      <w:r>
        <w:rPr>
          <w:b/>
          <w:color w:val="1F4E79"/>
        </w:rPr>
        <w:t xml:space="preserve">Configuration over code.  </w:t>
      </w:r>
      <w:r>
        <w:rPr>
          <w:color w:val="1A1A1A"/>
        </w:rPr>
        <w:t>Configuration should be typed, versioned, tested, and effective-dated. Introduce custom code only when configuration cannot express a customer's rule, and isolate it behind a tested plugin interface.</w:t>
      </w:r>
    </w:p>
    <w:p>
      <w:pPr>
        <w:pBdr>
          <w:top w:val="single" w:sz="6" w:space="6" w:color="C9D2E0"/>
          <w:left w:val="single" w:sz="6" w:space="6" w:color="C9D2E0"/>
          <w:bottom w:val="single" w:sz="6" w:space="6" w:color="C9D2E0"/>
          <w:right w:val="single" w:sz="6" w:space="6" w:color="C9D2E0"/>
        </w:pBdr>
        <w:spacing w:after="160"/>
      </w:pPr>
    </w:p>
    <w:p>
      <w:pPr>
        <w:pStyle w:val="Heading1"/>
      </w:pPr>
      <w:r>
        <w:t>12. A concise interview summary</w:t>
      </w:r>
    </w:p>
    <w:p>
      <w:pPr>
        <w:shd w:val="clear" w:color="auto" w:fill="EAF3EC"/>
        <w:pBdr>
          <w:left w:val="single" w:sz="4" w:space="6" w:color="2E7D32"/>
        </w:pBdr>
        <w:spacing w:before="80" w:after="160"/>
        <w:ind w:left="173"/>
      </w:pPr>
      <w:r>
        <w:rPr>
          <w:b/>
          <w:color w:val="1F4E79"/>
        </w:rPr>
        <w:t xml:space="preserve">Say it like this.  </w:t>
      </w:r>
      <w:r>
        <w:rPr>
          <w:color w:val="1A1A1A"/>
        </w:rPr>
        <w:t>I would ingest warehouse events incrementally into an immutable, versioned raw layer, validate them into a canonical billing model, and build deterministic monthly revenue schedules. Those schedules produce a charge-level double-entry subledger: billing debits clearing and credits deferred revenue, and earned revenue debits deferred and credits subscription revenue. The waterfall is a monthly projection of that subledger, and summary journals keep charge-level traceability through an allocation bridge. Replays have no effect; corrections recompute the desired accounting and post only the difference. Reconciliation and finance approval gate the Campfire upload. Across many customers, the connector, accounting, reconciliation, and posting engines stay common, while source semantics, revenue policy, currencies, and account mappings are tenant-specific, versioned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