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CURBIO</w:t>
      </w:r>
    </w:p>
    <w:p>
      <w:pPr>
        <w:pStyle w:val="BodyText"/>
      </w:pPr>
      <w:r>
        <w:rPr>
          <w:bCs/>
          <w:b/>
        </w:rPr>
        <w:t xml:space="preserve">Attribution System — Technical Specification</w:t>
      </w:r>
    </w:p>
    <w:p>
      <w:pPr>
        <w:pStyle w:val="BodyText"/>
      </w:pPr>
      <w:r>
        <w:t xml:space="preserve">Data model, capture logic, and CRM mapping for unified lead attribution</w:t>
      </w:r>
    </w:p>
    <w:p>
      <w:pPr>
        <w:pStyle w:val="BodyText"/>
      </w:pPr>
      <w:r>
        <w:rPr>
          <w:iCs/>
          <w:i/>
        </w:rPr>
        <w:t xml:space="preserve">v3.3 · August 29, 2026 · Supersedes v3.2 (August 26, 2026) · Audience: Engineering / CTO</w:t>
      </w:r>
    </w:p>
    <w:p>
      <w:pPr>
        <w:pStyle w:val="BodyText"/>
      </w:pPr>
      <w:r>
        <w:rPr>
          <w:iCs/>
          <w:i/>
        </w:rPr>
        <w:t xml:space="preserve">Status: web door SHIPPED and VERIFIED for last-touch. §8 historical backfill EXECUTED Aug 29 (852 deals). Email-platform join LIVE via Mailchimp correlation; paid-spend join not built. Phone and manual doors not built.</w:t>
      </w:r>
    </w:p>
    <w:bookmarkStart w:id="20" w:name="changes-in-v3.3"/>
    <w:p>
      <w:pPr>
        <w:pStyle w:val="Heading1"/>
      </w:pPr>
      <w:r>
        <w:rPr>
          <w:bCs/>
          <w:b/>
        </w:rPr>
        <w:t xml:space="preserve">Changes in v3.3</w:t>
      </w:r>
    </w:p>
    <w:p>
      <w:pPr>
        <w:pStyle w:val="FirstParagraph"/>
      </w:pPr>
      <w:r>
        <w:t xml:space="preserve">v3.3 records the execution of the §8 backfill, three new data-handling rules learned from it, and the email-platform migration. The field model, capture mechanisms, and naming convention are unchanged except where noted.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Change</w:t>
            </w:r>
          </w:p>
        </w:tc>
        <w:tc>
          <w:tcPr/>
          <w:p>
            <w:pPr>
              <w:pStyle w:val="Compact"/>
              <w:jc w:val="left"/>
            </w:pPr>
            <w:r>
              <w:rPr>
                <w:bCs/>
                <w:b/>
              </w:rPr>
              <w:t xml:space="preserve">Detail</w:t>
            </w:r>
          </w:p>
        </w:tc>
      </w:tr>
      <w:tr>
        <w:tc>
          <w:tcPr/>
          <w:p>
            <w:pPr>
              <w:pStyle w:val="Compact"/>
              <w:jc w:val="left"/>
            </w:pPr>
            <w:r>
              <w:t xml:space="preserve">§8 backfill EXECUTED (Aug 29)</w:t>
            </w:r>
          </w:p>
        </w:tc>
        <w:tc>
          <w:tcPr/>
          <w:p>
            <w:pPr>
              <w:pStyle w:val="Compact"/>
              <w:jc w:val="left"/>
            </w:pPr>
            <w:r>
              <w:t xml:space="preserve">One-time import of the full app snapshot: 852 deals, Jan 2 – Aug 29. Mapping is versioned code (config/referral-backfill.ts, v1.0.0), applied at ingest, never edited per-lead. Referral values map to channel + entryPoint per §3c: landing-page variants → email/web_form; Inbound Email → email/inbound_email; Phone Call → direct/phone; partner labels → partnership with campaign = partner name (lonewolf’s 45 rows flagged low-confidence); www.curbio.com, curbio.com/* pages, and the Webflow city LPs → direct per §4/§9 — surface preserved in landing_page_url, channel never minted. Result: email 10.2% (87), partnership 14.4% (123), direct 75.4% (642). Provenance: 58 measured · 757 inferred · 37 inferred-by-date. That direct share is the honest ceiling for history, not a defect.</w:t>
            </w:r>
          </w:p>
        </w:tc>
      </w:tr>
      <w:tr>
        <w:tc>
          <w:tcPr/>
          <w:p>
            <w:pPr>
              <w:pStyle w:val="Compact"/>
              <w:jc w:val="left"/>
            </w:pPr>
            <w:r>
              <w:t xml:space="preserve">Mailchimp campaign correlation</w:t>
            </w:r>
          </w:p>
        </w:tc>
        <w:tc>
          <w:tcPr/>
          <w:p>
            <w:pPr>
              <w:pStyle w:val="Compact"/>
              <w:jc w:val="left"/>
            </w:pPr>
            <w:r>
              <w:t xml:space="preserve">Backfilled email leads get utm_campaign by date-correlation against the Mailchimp send log: most recent qualifying campaign within 72h before lead creation, market-named campaigns must match the lead’s market, test sends excluded. 37 of 39 eligible leads matched (15 flagged ambiguous). Historical email rows carry utm_source = mailchimp for audit.</w:t>
            </w:r>
          </w:p>
        </w:tc>
      </w:tr>
      <w:tr>
        <w:tc>
          <w:tcPr/>
          <w:p>
            <w:pPr>
              <w:pStyle w:val="Compact"/>
              <w:jc w:val="left"/>
            </w:pPr>
            <w:r>
              <w:t xml:space="preserve">Normalization rule (the §7 fracture recurred)</w:t>
            </w:r>
          </w:p>
        </w:tc>
        <w:tc>
          <w:tcPr/>
          <w:p>
            <w:pPr>
              <w:pStyle w:val="Compact"/>
              <w:jc w:val="left"/>
            </w:pPr>
            <w:r>
              <w:t xml:space="preserve">Two</w:t>
            </w:r>
            <w:r>
              <w:t xml:space="preserve"> </w:t>
            </w:r>
            <w:r>
              <w:t xml:space="preserve">“</w:t>
            </w:r>
            <w:r>
              <w:t xml:space="preserve">landing page</w:t>
            </w:r>
            <w:r>
              <w:t xml:space="preserve">”</w:t>
            </w:r>
            <w:r>
              <w:t xml:space="preserve"> </w:t>
            </w:r>
            <w:r>
              <w:t xml:space="preserve">referral values with trailing whitespace fell through the mapping to direct — the same invisible fracture §7 documents on campaign values. New rule: every string match against lead data normalizes first (trim, collapse internal whitespace, strip non-breaking and zero-width characters, lowercase), and any value that still fails to match is logged in the import report with its raw bytes. Silent fallthrough to direct is banned.</w:t>
            </w:r>
          </w:p>
        </w:tc>
      </w:tr>
      <w:tr>
        <w:tc>
          <w:tcPr/>
          <w:p>
            <w:pPr>
              <w:pStyle w:val="Compact"/>
              <w:jc w:val="left"/>
            </w:pPr>
            <w:r>
              <w:t xml:space="preserve">Revenue keys to Won date</w:t>
            </w:r>
          </w:p>
        </w:tc>
        <w:tc>
          <w:tcPr/>
          <w:p>
            <w:pPr>
              <w:pStyle w:val="Compact"/>
              <w:jc w:val="left"/>
            </w:pPr>
            <w:r>
              <w:t xml:space="preserve">Reporting aggregates revenue by Won date, never created date (August won $126.9k across 8 projects; the created-in-August view showed $15.3k). Negative-revenue rows (Final Credits, Change Orders — including Excel’s leading-apostrophe minus) are real money and count in monthly totals even when they cannot join to a lead.</w:t>
            </w:r>
          </w:p>
        </w:tc>
      </w:tr>
      <w:tr>
        <w:tc>
          <w:tcPr/>
          <w:p>
            <w:pPr>
              <w:pStyle w:val="Compact"/>
              <w:jc w:val="left"/>
            </w:pPr>
            <w:r>
              <w:t xml:space="preserve">Test-tag exclusion</w:t>
            </w:r>
          </w:p>
        </w:tc>
        <w:tc>
          <w:tcPr/>
          <w:p>
            <w:pPr>
              <w:pStyle w:val="Compact"/>
              <w:jc w:val="left"/>
            </w:pPr>
            <w:r>
              <w:t xml:space="preserve">QA campaign tags (testcampaign-</w:t>
            </w:r>
            <w:r>
              <w:rPr>
                <w:iCs/>
                <w:i/>
              </w:rPr>
              <w:t xml:space="preserve">, phase2-</w:t>
            </w:r>
            <w:r>
              <w:t xml:space="preserve">, and similar) are excluded from lead-facing reporting and the undocumented-tags banner. Genuine undocumented tags are auto-created in the Links registry with first-seen date, lead count, and inferred channel, flagged auto-documented for review.</w:t>
            </w:r>
          </w:p>
        </w:tc>
      </w:tr>
      <w:tr>
        <w:tc>
          <w:tcPr/>
          <w:p>
            <w:pPr>
              <w:pStyle w:val="Compact"/>
              <w:jc w:val="left"/>
            </w:pPr>
            <w:r>
              <w:t xml:space="preserve">Email platform migration</w:t>
            </w:r>
          </w:p>
        </w:tc>
        <w:tc>
          <w:tcPr/>
          <w:p>
            <w:pPr>
              <w:pStyle w:val="Compact"/>
              <w:jc w:val="left"/>
            </w:pPr>
            <w:r>
              <w:t xml:space="preserve">Mailchimp is retiring. Opt-in sends move to ActiveCampaign, cold to Instantly (target: first week of September). Both platforms send utm_source = email — the cold- / nurture- campaign prefix is what separates the domains; platform names must never be minted as sources. The dashboard’s email split resolves from the two webhooks, wired at migration.</w:t>
            </w:r>
          </w:p>
        </w:tc>
      </w:tr>
      <w:tr>
        <w:tc>
          <w:tcPr/>
          <w:p>
            <w:pPr>
              <w:pStyle w:val="Compact"/>
              <w:jc w:val="left"/>
            </w:pPr>
            <w:r>
              <w:t xml:space="preserve">Stage casing</w:t>
            </w:r>
          </w:p>
        </w:tc>
        <w:tc>
          <w:tcPr/>
          <w:p>
            <w:pPr>
              <w:pStyle w:val="Compact"/>
              <w:jc w:val="left"/>
            </w:pPr>
            <w:r>
              <w:t xml:space="preserve">New app exports changed funnel-stage casing (</w:t>
            </w:r>
            <w:r>
              <w:t xml:space="preserve">“</w:t>
            </w:r>
            <w:r>
              <w:t xml:space="preserve">Spoke with agent</w:t>
            </w:r>
            <w:r>
              <w:t xml:space="preserve">”</w:t>
            </w:r>
            <w:r>
              <w:t xml:space="preserve"> </w:t>
            </w:r>
            <w:r>
              <w:t xml:space="preserve">vs</w:t>
            </w:r>
            <w:r>
              <w:t xml:space="preserve"> </w:t>
            </w:r>
            <w:r>
              <w:t xml:space="preserve">“</w:t>
            </w:r>
            <w:r>
              <w:t xml:space="preserve">Spoke with Agent</w:t>
            </w:r>
            <w:r>
              <w:t xml:space="preserve">”</w:t>
            </w:r>
            <w:r>
              <w:t xml:space="preserve">). Ordinal lookups are now case-insensitive.</w:t>
            </w:r>
          </w:p>
        </w:tc>
      </w:tr>
      <w:tr>
        <w:tc>
          <w:tcPr/>
          <w:p>
            <w:pPr>
              <w:pStyle w:val="Compact"/>
              <w:jc w:val="left"/>
            </w:pPr>
            <w:r>
              <w:t xml:space="preserve">Data window</w:t>
            </w:r>
          </w:p>
        </w:tc>
        <w:tc>
          <w:tcPr/>
          <w:p>
            <w:pPr>
              <w:pStyle w:val="Compact"/>
              <w:jc w:val="left"/>
            </w:pPr>
            <w:r>
              <w:t xml:space="preserve">852 deals, Jan 2 – Aug 29, via one-time snapshot import tagged source: app-import. Superseded record-by-record (keyed on Deal ID) when the API sync lands.</w:t>
            </w:r>
          </w:p>
        </w:tc>
      </w:tr>
    </w:tbl>
    <w:bookmarkEnd w:id="20"/>
    <w:bookmarkStart w:id="21" w:name="changes-in-v3.2"/>
    <w:p>
      <w:pPr>
        <w:pStyle w:val="Heading1"/>
      </w:pPr>
      <w:r>
        <w:t xml:space="preserve">Changes in v3.2</w:t>
      </w:r>
    </w:p>
    <w:p>
      <w:pPr>
        <w:pStyle w:val="FirstParagraph"/>
      </w:pPr>
      <w:r>
        <w:t xml:space="preserve">v3.1 left one central mystery: four payload fields arrived at the intake with HTTP 200 and never populated their columns. v3.2 records the root cause, the fix, the decisions closed since, and a refreshed data window (848 deals, Jan 2 – Aug 27).</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Change</w:t>
            </w:r>
          </w:p>
        </w:tc>
        <w:tc>
          <w:tcPr/>
          <w:p>
            <w:pPr>
              <w:pStyle w:val="Compact"/>
              <w:jc w:val="left"/>
            </w:pPr>
            <w:r>
              <w:rPr>
                <w:bCs/>
                <w:b/>
              </w:rPr>
              <w:t xml:space="preserve">Detail</w:t>
            </w:r>
          </w:p>
        </w:tc>
      </w:tr>
      <w:tr>
        <w:tc>
          <w:tcPr/>
          <w:p>
            <w:pPr>
              <w:pStyle w:val="Compact"/>
              <w:jc w:val="left"/>
            </w:pPr>
            <w:r>
              <w:t xml:space="preserve">Root cause found: key-name mismatch</w:t>
            </w:r>
          </w:p>
        </w:tc>
        <w:tc>
          <w:tcPr/>
          <w:p>
            <w:pPr>
              <w:pStyle w:val="Compact"/>
              <w:jc w:val="left"/>
            </w:pPr>
            <w:r>
              <w:t xml:space="preserve">The payload sent entryPoint, firstTouchChannel, and firstTouchCampaign; the CRM columns are Origin, LeadSource, FirstTouchCampaign. The intake matches keys by name (casing is normalised, names are not), so unmatched keys were silently dropped. Proven on Deal 99465 (Aug 25): full payload, 200 OK, three columns blank. UtmContent was never sent at all — a payload omission on our side, not an intake drop.</w:t>
            </w:r>
          </w:p>
        </w:tc>
      </w:tr>
      <w:tr>
        <w:tc>
          <w:tcPr/>
          <w:p>
            <w:pPr>
              <w:pStyle w:val="Compact"/>
              <w:jc w:val="left"/>
            </w:pPr>
            <w:r>
              <w:t xml:space="preserve">Payload fixed (deployed Aug 26)</w:t>
            </w:r>
          </w:p>
        </w:tc>
        <w:tc>
          <w:tcPr/>
          <w:p>
            <w:pPr>
              <w:pStyle w:val="Compact"/>
              <w:jc w:val="left"/>
            </w:pPr>
            <w:r>
              <w:t xml:space="preserve">Keys renamed to Origin, LeadSource, FirstTouchCampaign. UtmContent added (carries the A/B variant). The dead medium duplicate removed. UtmTerm remains deliberately unsent. See §6.</w:t>
            </w:r>
          </w:p>
        </w:tc>
      </w:tr>
      <w:tr>
        <w:tc>
          <w:tcPr/>
          <w:p>
            <w:pPr>
              <w:pStyle w:val="Compact"/>
              <w:jc w:val="left"/>
            </w:pPr>
            <w:r>
              <w:t xml:space="preserve">Channel list grows to ten: event added</w:t>
            </w:r>
          </w:p>
        </w:tc>
        <w:tc>
          <w:tcPr/>
          <w:p>
            <w:pPr>
              <w:pStyle w:val="Compact"/>
              <w:jc w:val="left"/>
            </w:pPr>
            <w:r>
              <w:t xml:space="preserve">Events (webinars, conference booths, open houses) are a funded motion under the spend test and previously had no honest value — they were being squinted into partnership or hsm_field. Added before the October event push so ExpCon launches attributed. mail is documented as next-in-line, to be added only when the direct-mail motion launches.</w:t>
            </w:r>
          </w:p>
        </w:tc>
      </w:tr>
      <w:tr>
        <w:tc>
          <w:tcPr/>
          <w:p>
            <w:pPr>
              <w:pStyle w:val="Compact"/>
              <w:jc w:val="left"/>
            </w:pPr>
            <w:r>
              <w:t xml:space="preserve">Partnership derivation DECIDED</w:t>
            </w:r>
          </w:p>
        </w:tc>
        <w:tc>
          <w:tcPr/>
          <w:p>
            <w:pPr>
              <w:pStyle w:val="Compact"/>
              <w:jc w:val="left"/>
            </w:pPr>
            <w:r>
              <w:t xml:space="preserve">A lead carrying a ReferralSourceId also derives channel = partnership (campaign = partner name) unless a stronger UTM signal is present. Partner volume must appear in channel × market reporting, not only in a side field — required before any pay-per-proposal marketing fee.</w:t>
            </w:r>
          </w:p>
        </w:tc>
      </w:tr>
      <w:tr>
        <w:tc>
          <w:tcPr/>
          <w:p>
            <w:pPr>
              <w:pStyle w:val="Compact"/>
              <w:jc w:val="left"/>
            </w:pPr>
            <w:r>
              <w:t xml:space="preserve">Naming convention extended: cold- / nurture-</w:t>
            </w:r>
          </w:p>
        </w:tc>
        <w:tc>
          <w:tcPr/>
          <w:p>
            <w:pPr>
              <w:pStyle w:val="Compact"/>
              <w:jc w:val="left"/>
            </w:pPr>
            <w:r>
              <w:t xml:space="preserve">The email program splits into cold and opt-in domains. The campaign’s leading tactic token now distinguishes them: cold sends begin cold-, opt-in sends begin nurture-. No new fields.</w:t>
            </w:r>
          </w:p>
        </w:tc>
      </w:tr>
      <w:tr>
        <w:tc>
          <w:tcPr/>
          <w:p>
            <w:pPr>
              <w:pStyle w:val="Compact"/>
              <w:jc w:val="left"/>
            </w:pPr>
            <w:r>
              <w:t xml:space="preserve">Market list removed from this spec</w:t>
            </w:r>
          </w:p>
        </w:tc>
        <w:tc>
          <w:tcPr/>
          <w:p>
            <w:pPr>
              <w:pStyle w:val="Compact"/>
              <w:jc w:val="left"/>
            </w:pPr>
            <w:r>
              <w:t xml:space="preserve">v3.1 enumerated seven markets and was already stale (no Seattle, which has 19 deals in the CRM). Markets change too often to live in a spec. The market field holds the display name from the market configuration — the config is the source of truth, this document no longer lists values.</w:t>
            </w:r>
          </w:p>
        </w:tc>
      </w:tr>
      <w:tr>
        <w:tc>
          <w:tcPr/>
          <w:p>
            <w:pPr>
              <w:pStyle w:val="Compact"/>
              <w:jc w:val="left"/>
            </w:pPr>
            <w:r>
              <w:t xml:space="preserve">referralSourceId fallback recorded</w:t>
            </w:r>
          </w:p>
        </w:tc>
        <w:tc>
          <w:tcPr/>
          <w:p>
            <w:pPr>
              <w:pStyle w:val="Compact"/>
              <w:jc w:val="left"/>
            </w:pPr>
            <w:r>
              <w:t xml:space="preserve">Non-partner web leads fall back to the literal string</w:t>
            </w:r>
            <w:r>
              <w:t xml:space="preserve"> </w:t>
            </w:r>
            <w:r>
              <w:t xml:space="preserve">“</w:t>
            </w:r>
            <w:r>
              <w:t xml:space="preserve">landing page</w:t>
            </w:r>
            <w:r>
              <w:t xml:space="preserve">”</w:t>
            </w:r>
            <w:r>
              <w:t xml:space="preserve"> </w:t>
            </w:r>
            <w:r>
              <w:t xml:space="preserve">(server-side, route.ts). This conflicts with §3b’s definition of the column as partner attribution, and is retained as a deliberate interim decision pending the site relaunch. Do not</w:t>
            </w:r>
            <w:r>
              <w:t xml:space="preserve"> </w:t>
            </w:r>
            <w:r>
              <w:t xml:space="preserve">‘</w:t>
            </w:r>
            <w:r>
              <w:t xml:space="preserve">fix</w:t>
            </w:r>
            <w:r>
              <w:t xml:space="preserve">’</w:t>
            </w:r>
            <w:r>
              <w:t xml:space="preserve"> </w:t>
            </w:r>
            <w:r>
              <w:t xml:space="preserve">it without a replacement label plan.</w:t>
            </w:r>
          </w:p>
        </w:tc>
      </w:tr>
      <w:tr>
        <w:tc>
          <w:tcPr/>
          <w:p>
            <w:pPr>
              <w:pStyle w:val="Compact"/>
              <w:jc w:val="left"/>
            </w:pPr>
            <w:r>
              <w:t xml:space="preserve">leadId noted</w:t>
            </w:r>
          </w:p>
        </w:tc>
        <w:tc>
          <w:tcPr/>
          <w:p>
            <w:pPr>
              <w:pStyle w:val="Compact"/>
              <w:jc w:val="left"/>
            </w:pPr>
            <w:r>
              <w:t xml:space="preserve">The web app generates a per-lead ID used as its internal join key. It is deliberately NOT sent to the CRM — decision Aug 26. If cross-system tracing is ever needed, this is the field to send; today Deal matching is by email + timestamp.</w:t>
            </w:r>
          </w:p>
        </w:tc>
      </w:tr>
    </w:tbl>
    <w:bookmarkEnd w:id="21"/>
    <w:bookmarkStart w:id="22" w:name="Xf6a4688f2c5992713235c56a0605caaebd41d97"/>
    <w:p>
      <w:pPr>
        <w:pStyle w:val="Heading1"/>
      </w:pPr>
      <w:r>
        <w:rPr>
          <w:bCs/>
          <w:b/>
        </w:rPr>
        <w:t xml:space="preserve">v3.2 data window — the attribution report, Jan 2 – Aug 27 2026</w:t>
      </w:r>
    </w:p>
    <w:p>
      <w:pPr>
        <w:pStyle w:val="FirstParagraph"/>
      </w:pPr>
      <w:r>
        <w:t xml:space="preserve">The unified Marketing Attribution report now covers 848 deals (86 open, 710 lost, 52 won). Field population across the full window:</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Column</w:t>
            </w:r>
          </w:p>
        </w:tc>
        <w:tc>
          <w:tcPr/>
          <w:p>
            <w:pPr>
              <w:pStyle w:val="Compact"/>
              <w:jc w:val="left"/>
            </w:pPr>
            <w:r>
              <w:rPr>
                <w:bCs/>
                <w:b/>
              </w:rPr>
              <w:t xml:space="preserve">Populated</w:t>
            </w:r>
          </w:p>
        </w:tc>
        <w:tc>
          <w:tcPr/>
          <w:p>
            <w:pPr>
              <w:pStyle w:val="Compact"/>
              <w:jc w:val="left"/>
            </w:pPr>
            <w:r>
              <w:rPr>
                <w:bCs/>
                <w:b/>
              </w:rPr>
              <w:t xml:space="preserve">Read</w:t>
            </w:r>
          </w:p>
        </w:tc>
      </w:tr>
      <w:tr>
        <w:tc>
          <w:tcPr/>
          <w:p>
            <w:pPr>
              <w:pStyle w:val="Compact"/>
              <w:jc w:val="left"/>
            </w:pPr>
            <w:r>
              <w:t xml:space="preserve">ReferralSource</w:t>
            </w:r>
          </w:p>
        </w:tc>
        <w:tc>
          <w:tcPr/>
          <w:p>
            <w:pPr>
              <w:pStyle w:val="Compact"/>
              <w:jc w:val="left"/>
            </w:pPr>
            <w:r>
              <w:t xml:space="preserve">716 / 848 (84%)</w:t>
            </w:r>
          </w:p>
        </w:tc>
        <w:tc>
          <w:tcPr/>
          <w:p>
            <w:pPr>
              <w:pStyle w:val="Compact"/>
              <w:jc w:val="left"/>
            </w:pPr>
            <w:r>
              <w:t xml:space="preserve">Still the broadest signal — and still the junk drawer: www.curbio.com (331), Phone Call (53), landing page (50), Other (49), lonewolf (45), Inbound Email (38), plus partner labels and page URLs. Four question-types in one column; the backfill mapping in §8 is what retires it.</w:t>
            </w:r>
          </w:p>
        </w:tc>
      </w:tr>
      <w:tr>
        <w:tc>
          <w:tcPr/>
          <w:p>
            <w:pPr>
              <w:pStyle w:val="Compact"/>
              <w:jc w:val="left"/>
            </w:pPr>
            <w:r>
              <w:t xml:space="preserve">Channel</w:t>
            </w:r>
          </w:p>
        </w:tc>
        <w:tc>
          <w:tcPr/>
          <w:p>
            <w:pPr>
              <w:pStyle w:val="Compact"/>
              <w:jc w:val="left"/>
            </w:pPr>
            <w:r>
              <w:t xml:space="preserve">55 / 848 (6%)</w:t>
            </w:r>
          </w:p>
        </w:tc>
        <w:tc>
          <w:tcPr/>
          <w:p>
            <w:pPr>
              <w:pStyle w:val="Compact"/>
              <w:jc w:val="left"/>
            </w:pPr>
            <w:r>
              <w:t xml:space="preserve">All attributed deals date from July onward — 30 in July, 25 in August — i.e. the web door working from the moment it shipped. Values: email 45, partnership 7, direct 3. Nothing before July carries a channel, as expected.</w:t>
            </w:r>
          </w:p>
        </w:tc>
      </w:tr>
      <w:tr>
        <w:tc>
          <w:tcPr/>
          <w:p>
            <w:pPr>
              <w:pStyle w:val="Compact"/>
              <w:jc w:val="left"/>
            </w:pPr>
            <w:r>
              <w:t xml:space="preserve">UtmSource / UtmMedium</w:t>
            </w:r>
          </w:p>
        </w:tc>
        <w:tc>
          <w:tcPr/>
          <w:p>
            <w:pPr>
              <w:pStyle w:val="Compact"/>
              <w:jc w:val="left"/>
            </w:pPr>
            <w:r>
              <w:t xml:space="preserve">93 / 85 (10-11%)</w:t>
            </w:r>
          </w:p>
        </w:tc>
        <w:tc>
          <w:tcPr/>
          <w:p>
            <w:pPr>
              <w:pStyle w:val="Compact"/>
              <w:jc w:val="left"/>
            </w:pPr>
            <w:r>
              <w:t xml:space="preserve">The web-door leads plus inbound-email literals (</w:t>
            </w:r>
            <w:r>
              <w:t xml:space="preserve">“</w:t>
            </w:r>
            <w:r>
              <w:t xml:space="preserve">Inbound Email</w:t>
            </w:r>
            <w:r>
              <w:t xml:space="preserve">”</w:t>
            </w:r>
            <w:r>
              <w:t xml:space="preserve"> </w:t>
            </w:r>
            <w:r>
              <w:t xml:space="preserve">written raw into both — see §5d).</w:t>
            </w:r>
          </w:p>
        </w:tc>
      </w:tr>
      <w:tr>
        <w:tc>
          <w:tcPr/>
          <w:p>
            <w:pPr>
              <w:pStyle w:val="Compact"/>
              <w:jc w:val="left"/>
            </w:pPr>
            <w:r>
              <w:t xml:space="preserve">UtmCampaign</w:t>
            </w:r>
          </w:p>
        </w:tc>
        <w:tc>
          <w:tcPr/>
          <w:p>
            <w:pPr>
              <w:pStyle w:val="Compact"/>
              <w:jc w:val="left"/>
            </w:pPr>
            <w:r>
              <w:t xml:space="preserve">55 (6%)</w:t>
            </w:r>
          </w:p>
        </w:tc>
        <w:tc>
          <w:tcPr/>
          <w:p>
            <w:pPr>
              <w:pStyle w:val="Compact"/>
              <w:jc w:val="left"/>
            </w:pPr>
            <w:r>
              <w:t xml:space="preserve">Sixteen distinct campaigns individually visible, led by easytip-jul (9), exp-partner-landingpage (7), honestly-jul (6). NOTE: two campaign values carry a trailing non-breaking space (</w:t>
            </w:r>
            <w:r>
              <w:t xml:space="preserve">“</w:t>
            </w:r>
            <w:r>
              <w:t xml:space="preserve">price-jul</w:t>
            </w:r>
            <w:r>
              <w:t xml:space="preserve">”</w:t>
            </w:r>
            <w:r>
              <w:t xml:space="preserve"> </w:t>
            </w:r>
            <w:r>
              <w:t xml:space="preserve">and</w:t>
            </w:r>
            <w:r>
              <w:t xml:space="preserve"> </w:t>
            </w:r>
            <w:r>
              <w:t xml:space="preserve">“</w:t>
            </w:r>
            <w:r>
              <w:t xml:space="preserve">halfway-jul</w:t>
            </w:r>
            <w:r>
              <w:t xml:space="preserve">”</w:t>
            </w:r>
            <w:r>
              <w:t xml:space="preserve">) — exactly the silent fracture §7 warns about; they will not aggregate with their clean twins. Fix at the link source.</w:t>
            </w:r>
          </w:p>
        </w:tc>
      </w:tr>
      <w:tr>
        <w:tc>
          <w:tcPr/>
          <w:p>
            <w:pPr>
              <w:pStyle w:val="Compact"/>
              <w:jc w:val="left"/>
            </w:pPr>
            <w:r>
              <w:t xml:space="preserve">LeadSource</w:t>
            </w:r>
          </w:p>
        </w:tc>
        <w:tc>
          <w:tcPr/>
          <w:p>
            <w:pPr>
              <w:pStyle w:val="Compact"/>
              <w:jc w:val="left"/>
            </w:pPr>
            <w:r>
              <w:t xml:space="preserve">84 (10%)</w:t>
            </w:r>
          </w:p>
        </w:tc>
        <w:tc>
          <w:tcPr/>
          <w:p>
            <w:pPr>
              <w:pStyle w:val="Compact"/>
              <w:jc w:val="left"/>
            </w:pPr>
            <w:r>
              <w:t xml:space="preserve">Legacy values only — Phone Call (38), mobile app, raw sender email addresses. This is the collision documented in §3: other intake paths still write the old meaning. The repurposed first-touch values will begin landing with the Aug 26 payload fix; the legacy writers must be re-pointed before the column is trustworthy.</w:t>
            </w:r>
          </w:p>
        </w:tc>
      </w:tr>
      <w:tr>
        <w:tc>
          <w:tcPr/>
          <w:p>
            <w:pPr>
              <w:pStyle w:val="Compact"/>
              <w:jc w:val="left"/>
            </w:pPr>
            <w:r>
              <w:t xml:space="preserve">Origin / UtmContent / FirstTouchCampaign</w:t>
            </w:r>
          </w:p>
        </w:tc>
        <w:tc>
          <w:tcPr/>
          <w:p>
            <w:pPr>
              <w:pStyle w:val="Compact"/>
              <w:jc w:val="left"/>
            </w:pPr>
            <w:r>
              <w:t xml:space="preserve">0 (0%)</w:t>
            </w:r>
          </w:p>
        </w:tc>
        <w:tc>
          <w:tcPr/>
          <w:p>
            <w:pPr>
              <w:pStyle w:val="Compact"/>
              <w:jc w:val="left"/>
            </w:pPr>
            <w:r>
              <w:t xml:space="preserve">The three casualties of the key-name mismatch. Expected to populate from Aug 26 forward. First verification lead in flight.</w:t>
            </w:r>
          </w:p>
        </w:tc>
      </w:tr>
      <w:tr>
        <w:tc>
          <w:tcPr/>
          <w:p>
            <w:pPr>
              <w:pStyle w:val="Compact"/>
              <w:jc w:val="left"/>
            </w:pPr>
            <w:r>
              <w:t xml:space="preserve">UtmTerm</w:t>
            </w:r>
          </w:p>
        </w:tc>
        <w:tc>
          <w:tcPr/>
          <w:p>
            <w:pPr>
              <w:pStyle w:val="Compact"/>
              <w:jc w:val="left"/>
            </w:pPr>
            <w:r>
              <w:t xml:space="preserve">0 (0%)</w:t>
            </w:r>
          </w:p>
        </w:tc>
        <w:tc>
          <w:tcPr/>
          <w:p>
            <w:pPr>
              <w:pStyle w:val="Compact"/>
              <w:jc w:val="left"/>
            </w:pPr>
            <w:r>
              <w:t xml:space="preserve">By design. Stays empty.</w:t>
            </w:r>
          </w:p>
        </w:tc>
      </w:tr>
      <w:tr>
        <w:tc>
          <w:tcPr/>
          <w:p>
            <w:pPr>
              <w:pStyle w:val="Compact"/>
              <w:jc w:val="left"/>
            </w:pPr>
            <w:r>
              <w:t xml:space="preserve">The number that matters most: 52 deals have been Won in 2026, and zero of them carry channel attribution. Every closed-won to date predates or bypassed the web door. The first fully attributed closed-won — the first time revenue can be traced to a specific campaign — is still ahead, and is now unblocked.</w:t>
            </w:r>
          </w:p>
        </w:tc>
        <w:tc>
          <w:tcPr/>
          <w:p>
            <w:pPr>
              <w:pStyle w:val="Compact"/>
            </w:pPr>
          </w:p>
        </w:tc>
        <w:tc>
          <w:tcPr/>
          <w:p>
            <w:pPr>
              <w:pStyle w:val="Compact"/>
            </w:pPr>
          </w:p>
        </w:tc>
      </w:tr>
    </w:tbl>
    <w:bookmarkEnd w:id="22"/>
    <w:bookmarkStart w:id="23" w:name="the-principle"/>
    <w:p>
      <w:pPr>
        <w:pStyle w:val="Heading1"/>
      </w:pPr>
      <w:r>
        <w:rPr>
          <w:bCs/>
          <w:b/>
        </w:rPr>
        <w:t xml:space="preserve">1. The principle</w:t>
      </w:r>
    </w:p>
    <w:p>
      <w:pPr>
        <w:pStyle w:val="FirstParagraph"/>
      </w:pPr>
      <w:r>
        <w:t xml:space="preserve">Every lead — whether it comes from an email click, a paid ad, a creator link, a QR code on a printed asset, an inbound phone call, or a rep entering it by hand — needs the same questions answered:</w:t>
      </w:r>
    </w:p>
    <w:p>
      <w:pPr>
        <w:pStyle w:val="BodyText"/>
      </w:pPr>
      <w:r>
        <w:t xml:space="preserve">• What channel drove it? (the funded motion — what we budget against)</w:t>
      </w:r>
    </w:p>
    <w:p>
      <w:pPr>
        <w:pStyle w:val="BodyText"/>
      </w:pPr>
      <w:r>
        <w:t xml:space="preserve">• What specific campaign? (the granular instance — the ROI / payout key)</w:t>
      </w:r>
    </w:p>
    <w:p>
      <w:pPr>
        <w:pStyle w:val="BodyText"/>
      </w:pPr>
      <w:r>
        <w:t xml:space="preserve">• What format or medium delivered it?</w:t>
      </w:r>
    </w:p>
    <w:p>
      <w:pPr>
        <w:pStyle w:val="BodyText"/>
      </w:pPr>
      <w:r>
        <w:t xml:space="preserve">• What door did it physically enter through?</w:t>
      </w:r>
    </w:p>
    <w:p>
      <w:pPr>
        <w:pStyle w:val="BodyText"/>
      </w:pPr>
      <w:r>
        <w:t xml:space="preserve">• What originated the lead, if different from what converted it?</w:t>
      </w:r>
    </w:p>
    <w:p>
      <w:pPr>
        <w:pStyle w:val="BodyText"/>
      </w:pPr>
      <w:r>
        <w:t xml:space="preserve">The system answers these with a fixed set of CRM fields. Channels differ only in the values they supply and the mechanism that populates them. There are no per-channel special cases in the data model — adding a new channel later means supplying new values, not adding new fields (proven twice now: collateral in August, event in this version).</w:t>
      </w:r>
    </w:p>
    <w:bookmarkEnd w:id="23"/>
    <w:bookmarkStart w:id="27" w:name="current-state-as-of-aug-26-2026"/>
    <w:p>
      <w:pPr>
        <w:pStyle w:val="Heading1"/>
      </w:pPr>
      <w:r>
        <w:rPr>
          <w:bCs/>
          <w:b/>
        </w:rPr>
        <w:t xml:space="preserve">2. Current state (as of Aug 26, 2026)</w:t>
      </w:r>
    </w:p>
    <w:bookmarkStart w:id="24" w:name="a.-live-in-production"/>
    <w:p>
      <w:pPr>
        <w:pStyle w:val="Heading2"/>
      </w:pPr>
      <w:r>
        <w:rPr>
          <w:bCs/>
          <w:b/>
        </w:rPr>
        <w:t xml:space="preserve">2a. Live in production</w:t>
      </w:r>
    </w:p>
    <w:p>
      <w:pPr>
        <w:pStyle w:val="FirstParagraph"/>
      </w:pPr>
      <w:r>
        <w:t xml:space="preserve">The web door is fully implemented on the Next.js platform serving sell.curbio.com and sell.curbio.com/exp:</w:t>
      </w:r>
    </w:p>
    <w:p>
      <w:pPr>
        <w:pStyle w:val="BodyText"/>
      </w:pPr>
      <w:r>
        <w:t xml:space="preserve">• Last-touch capture — UTMs read synchronously on arrival, before the URL strip. Ordering is load-bearing.</w:t>
      </w:r>
    </w:p>
    <w:p>
      <w:pPr>
        <w:pStyle w:val="BodyText"/>
      </w:pPr>
      <w:r>
        <w:t xml:space="preserve">• Channel derivation — derived from utm_source against the closed ten-value list, never passed raw.</w:t>
      </w:r>
    </w:p>
    <w:p>
      <w:pPr>
        <w:pStyle w:val="BodyText"/>
      </w:pPr>
      <w:r>
        <w:t xml:space="preserve">• First-touch persistence — write-once localStorage, 90-day TTL.</w:t>
      </w:r>
    </w:p>
    <w:p>
      <w:pPr>
        <w:pStyle w:val="BodyText"/>
      </w:pPr>
      <w:r>
        <w:t xml:space="preserve">• Corrected payload — as of Aug 26 the outbound keys match the CRM columns exactly (§6). This closes the defect that silenced Origin, LeadSource, and FirstTouchCampaign, and adds UtmContent.</w:t>
      </w:r>
    </w:p>
    <w:p>
      <w:pPr>
        <w:pStyle w:val="BodyText"/>
      </w:pPr>
      <w:r>
        <w:t xml:space="preserve">• Durable persistence — every submission written to a durable store before delivery; webhook failure alerts with full payload.</w:t>
      </w:r>
    </w:p>
    <w:p>
      <w:pPr>
        <w:pStyle w:val="BodyText"/>
      </w:pPr>
      <w:r>
        <w:t xml:space="preserve">• Non-PII logging — no name, email, phone, or address in the log drain.</w:t>
      </w:r>
    </w:p>
    <w:bookmarkEnd w:id="24"/>
    <w:bookmarkStart w:id="25" w:name="b.-what-the-crm-stores"/>
    <w:p>
      <w:pPr>
        <w:pStyle w:val="Heading2"/>
      </w:pPr>
      <w:r>
        <w:rPr>
          <w:bCs/>
          <w:b/>
        </w:rPr>
        <w:t xml:space="preserve">2b. What the CRM stores</w:t>
      </w:r>
    </w:p>
    <w:p>
      <w:pPr>
        <w:pStyle w:val="FirstParagraph"/>
      </w:pPr>
      <w:r>
        <w:t xml:space="preserve">The Estimate object carries the columns in §3 and they flow automatically to the Deal. Only ReferralSourceId surfaces in the app; the rest store and carry through, unread downstream. Casing of payload keys is normalised by the intake; key NAMES must match the column exactly — this distinction is the root cause fixed in this version.</w:t>
      </w:r>
    </w:p>
    <w:bookmarkEnd w:id="25"/>
    <w:bookmarkStart w:id="26" w:name="c.-not-built"/>
    <w:p>
      <w:pPr>
        <w:pStyle w:val="Heading2"/>
      </w:pPr>
      <w:r>
        <w:rPr>
          <w:bCs/>
          <w:b/>
        </w:rPr>
        <w:t xml:space="preserve">2c. Not built</w:t>
      </w:r>
    </w:p>
    <w:p>
      <w:pPr>
        <w:pStyle w:val="FirstParagraph"/>
      </w:pPr>
      <w:r>
        <w:t xml:space="preserve">• Phone door — no call tracking. Inbound calls carry no attribution. Now the gating dependency for the event and direct-mail motions in the 2026 strategy: booths and mailers produce calls, not clicks.</w:t>
      </w:r>
    </w:p>
    <w:p>
      <w:pPr>
        <w:pStyle w:val="BodyText"/>
      </w:pPr>
      <w:r>
        <w:t xml:space="preserve">• Manual door — rep-created leads have no enforced channel/campaign selection. Gating for the super-agent mail-then-call motion.</w:t>
      </w:r>
    </w:p>
    <w:p>
      <w:pPr>
        <w:pStyle w:val="BodyText"/>
      </w:pPr>
      <w:r>
        <w:t xml:space="preserve">• Inbound email-reply door — live, logs unattributed.</w:t>
      </w:r>
    </w:p>
    <w:p>
      <w:pPr>
        <w:pStyle w:val="BodyText"/>
      </w:pPr>
      <w:r>
        <w:t xml:space="preserve">• Dashboard — the report exists; the email join is LIVE as of v3.3 (Mailchimp correlation + list health). The paid-spend join does not exist and blocks CAC.</w:t>
      </w:r>
    </w:p>
    <w:p>
      <w:pPr>
        <w:pStyle w:val="BodyText"/>
      </w:pPr>
      <w:r>
        <w:t xml:space="preserve">• CRM-side pick-list validation — channel validated in our code only.</w:t>
      </w:r>
    </w:p>
    <w:bookmarkEnd w:id="26"/>
    <w:bookmarkEnd w:id="27"/>
    <w:bookmarkStart w:id="32" w:name="the-crm-field-model"/>
    <w:p>
      <w:pPr>
        <w:pStyle w:val="Heading1"/>
      </w:pPr>
      <w:r>
        <w:rPr>
          <w:bCs/>
          <w:b/>
        </w:rPr>
        <w:t xml:space="preserve">3. The CRM field model</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Concept</w:t>
            </w:r>
          </w:p>
        </w:tc>
        <w:tc>
          <w:tcPr/>
          <w:p>
            <w:pPr>
              <w:pStyle w:val="Compact"/>
              <w:jc w:val="left"/>
            </w:pPr>
            <w:r>
              <w:rPr>
                <w:bCs/>
                <w:b/>
              </w:rPr>
              <w:t xml:space="preserve">CRM column</w:t>
            </w:r>
          </w:p>
        </w:tc>
        <w:tc>
          <w:tcPr/>
          <w:p>
            <w:pPr>
              <w:pStyle w:val="Compact"/>
              <w:jc w:val="left"/>
            </w:pPr>
            <w:r>
              <w:rPr>
                <w:bCs/>
                <w:b/>
              </w:rPr>
              <w:t xml:space="preserve">Values</w:t>
            </w:r>
          </w:p>
        </w:tc>
        <w:tc>
          <w:tcPr/>
          <w:p>
            <w:pPr>
              <w:pStyle w:val="Compact"/>
              <w:jc w:val="left"/>
            </w:pPr>
            <w:r>
              <w:rPr>
                <w:bCs/>
                <w:b/>
              </w:rPr>
              <w:t xml:space="preserve">Constraint</w:t>
            </w:r>
          </w:p>
        </w:tc>
      </w:tr>
      <w:tr>
        <w:tc>
          <w:tcPr/>
          <w:p>
            <w:pPr>
              <w:pStyle w:val="Compact"/>
              <w:jc w:val="left"/>
            </w:pPr>
            <w:r>
              <w:t xml:space="preserve">channel</w:t>
            </w:r>
          </w:p>
        </w:tc>
        <w:tc>
          <w:tcPr/>
          <w:p>
            <w:pPr>
              <w:pStyle w:val="Compact"/>
              <w:jc w:val="left"/>
            </w:pPr>
            <w:r>
              <w:t xml:space="preserve">Channel</w:t>
            </w:r>
          </w:p>
        </w:tc>
        <w:tc>
          <w:tcPr/>
          <w:p>
            <w:pPr>
              <w:pStyle w:val="Compact"/>
              <w:jc w:val="left"/>
            </w:pPr>
            <w:r>
              <w:t xml:space="preserve">email, paid_search, paid_social, creator, hsm_field, partnership, organic, referral, direct, event</w:t>
            </w:r>
          </w:p>
        </w:tc>
        <w:tc>
          <w:tcPr/>
          <w:p>
            <w:pPr>
              <w:pStyle w:val="Compact"/>
              <w:jc w:val="left"/>
            </w:pPr>
            <w:r>
              <w:t xml:space="preserve">Closed list (ten values). Required. Derived, never raw. mail reserved for the direct-mail launch.</w:t>
            </w:r>
          </w:p>
        </w:tc>
      </w:tr>
      <w:tr>
        <w:tc>
          <w:tcPr/>
          <w:p>
            <w:pPr>
              <w:pStyle w:val="Compact"/>
              <w:jc w:val="left"/>
            </w:pPr>
            <w:r>
              <w:t xml:space="preserve">campaign</w:t>
            </w:r>
          </w:p>
        </w:tc>
        <w:tc>
          <w:tcPr/>
          <w:p>
            <w:pPr>
              <w:pStyle w:val="Compact"/>
              <w:jc w:val="left"/>
            </w:pPr>
            <w:r>
              <w:t xml:space="preserve">UtmCampaign</w:t>
            </w:r>
          </w:p>
        </w:tc>
        <w:tc>
          <w:tcPr/>
          <w:p>
            <w:pPr>
              <w:pStyle w:val="Compact"/>
              <w:jc w:val="left"/>
            </w:pPr>
            <w:r>
              <w:t xml:space="preserve">nurture-payatclosing-jun, cold-personalanalysis-oct, expcon-booth-oct</w:t>
            </w:r>
          </w:p>
        </w:tc>
        <w:tc>
          <w:tcPr/>
          <w:p>
            <w:pPr>
              <w:pStyle w:val="Compact"/>
              <w:jc w:val="left"/>
            </w:pPr>
            <w:r>
              <w:t xml:space="preserve">Text, §7 convention. Nullable.</w:t>
            </w:r>
          </w:p>
        </w:tc>
      </w:tr>
      <w:tr>
        <w:tc>
          <w:tcPr/>
          <w:p>
            <w:pPr>
              <w:pStyle w:val="Compact"/>
              <w:jc w:val="left"/>
            </w:pPr>
            <w:r>
              <w:t xml:space="preserve">medium</w:t>
            </w:r>
          </w:p>
        </w:tc>
        <w:tc>
          <w:tcPr/>
          <w:p>
            <w:pPr>
              <w:pStyle w:val="Compact"/>
              <w:jc w:val="left"/>
            </w:pPr>
            <w:r>
              <w:t xml:space="preserve">UtmMedium</w:t>
            </w:r>
          </w:p>
        </w:tc>
        <w:tc>
          <w:tcPr/>
          <w:p>
            <w:pPr>
              <w:pStyle w:val="Compact"/>
              <w:jc w:val="left"/>
            </w:pPr>
            <w:r>
              <w:t xml:space="preserve">e, cpc, social, print, qr, collateral</w:t>
            </w:r>
          </w:p>
        </w:tc>
        <w:tc>
          <w:tcPr/>
          <w:p>
            <w:pPr>
              <w:pStyle w:val="Compact"/>
              <w:jc w:val="left"/>
            </w:pPr>
            <w:r>
              <w:t xml:space="preserve">Nullable.</w:t>
            </w:r>
          </w:p>
        </w:tc>
      </w:tr>
      <w:tr>
        <w:tc>
          <w:tcPr/>
          <w:p>
            <w:pPr>
              <w:pStyle w:val="Compact"/>
              <w:jc w:val="left"/>
            </w:pPr>
            <w:r>
              <w:t xml:space="preserve">entryPoint</w:t>
            </w:r>
          </w:p>
        </w:tc>
        <w:tc>
          <w:tcPr/>
          <w:p>
            <w:pPr>
              <w:pStyle w:val="Compact"/>
              <w:jc w:val="left"/>
            </w:pPr>
            <w:r>
              <w:t xml:space="preserve">Origin</w:t>
            </w:r>
          </w:p>
        </w:tc>
        <w:tc>
          <w:tcPr/>
          <w:p>
            <w:pPr>
              <w:pStyle w:val="Compact"/>
              <w:jc w:val="left"/>
            </w:pPr>
            <w:r>
              <w:t xml:space="preserve">web_form, phone, manual, inbound_email</w:t>
            </w:r>
          </w:p>
        </w:tc>
        <w:tc>
          <w:tcPr/>
          <w:p>
            <w:pPr>
              <w:pStyle w:val="Compact"/>
              <w:jc w:val="left"/>
            </w:pPr>
            <w:r>
              <w:t xml:space="preserve">Required. Set by the door that creates the lead.</w:t>
            </w:r>
          </w:p>
        </w:tc>
      </w:tr>
      <w:tr>
        <w:tc>
          <w:tcPr/>
          <w:p>
            <w:pPr>
              <w:pStyle w:val="Compact"/>
              <w:jc w:val="left"/>
            </w:pPr>
            <w:r>
              <w:t xml:space="preserve">firstTouchChannel</w:t>
            </w:r>
          </w:p>
        </w:tc>
        <w:tc>
          <w:tcPr/>
          <w:p>
            <w:pPr>
              <w:pStyle w:val="Compact"/>
              <w:jc w:val="left"/>
            </w:pPr>
            <w:r>
              <w:t xml:space="preserve">LeadSource</w:t>
            </w:r>
          </w:p>
        </w:tc>
        <w:tc>
          <w:tcPr/>
          <w:p>
            <w:pPr>
              <w:pStyle w:val="Compact"/>
              <w:jc w:val="left"/>
            </w:pPr>
            <w:r>
              <w:t xml:space="preserve">same value set as channel</w:t>
            </w:r>
          </w:p>
        </w:tc>
        <w:tc>
          <w:tcPr/>
          <w:p>
            <w:pPr>
              <w:pStyle w:val="Compact"/>
              <w:jc w:val="left"/>
            </w:pPr>
            <w:r>
              <w:t xml:space="preserve">Write-once. Nullable. Legacy writers still colliding — see data window.</w:t>
            </w:r>
          </w:p>
        </w:tc>
      </w:tr>
      <w:tr>
        <w:tc>
          <w:tcPr/>
          <w:p>
            <w:pPr>
              <w:pStyle w:val="Compact"/>
              <w:jc w:val="left"/>
            </w:pPr>
            <w:r>
              <w:t xml:space="preserve">firstTouchCampaign</w:t>
            </w:r>
          </w:p>
        </w:tc>
        <w:tc>
          <w:tcPr/>
          <w:p>
            <w:pPr>
              <w:pStyle w:val="Compact"/>
              <w:jc w:val="left"/>
            </w:pPr>
            <w:r>
              <w:t xml:space="preserve">FirstTouchCampaign</w:t>
            </w:r>
          </w:p>
        </w:tc>
        <w:tc>
          <w:tcPr/>
          <w:p>
            <w:pPr>
              <w:pStyle w:val="Compact"/>
              <w:jc w:val="left"/>
            </w:pPr>
            <w:r>
              <w:t xml:space="preserve">same convention as campaign</w:t>
            </w:r>
          </w:p>
        </w:tc>
        <w:tc>
          <w:tcPr/>
          <w:p>
            <w:pPr>
              <w:pStyle w:val="Compact"/>
              <w:jc w:val="left"/>
            </w:pPr>
            <w:r>
              <w:t xml:space="preserve">Write-once. Nullable.</w:t>
            </w:r>
          </w:p>
        </w:tc>
      </w:tr>
      <w:tr>
        <w:tc>
          <w:tcPr/>
          <w:p>
            <w:pPr>
              <w:pStyle w:val="Compact"/>
              <w:jc w:val="left"/>
            </w:pPr>
            <w:r>
              <w:t xml:space="preserve">variant / creative</w:t>
            </w:r>
          </w:p>
        </w:tc>
        <w:tc>
          <w:tcPr/>
          <w:p>
            <w:pPr>
              <w:pStyle w:val="Compact"/>
              <w:jc w:val="left"/>
            </w:pPr>
            <w:r>
              <w:t xml:space="preserve">UtmContent</w:t>
            </w:r>
          </w:p>
        </w:tc>
        <w:tc>
          <w:tcPr/>
          <w:p>
            <w:pPr>
              <w:pStyle w:val="Compact"/>
              <w:jc w:val="left"/>
            </w:pPr>
            <w:r>
              <w:t xml:space="preserve">control, treatment, creative ids</w:t>
            </w:r>
          </w:p>
        </w:tc>
        <w:tc>
          <w:tcPr/>
          <w:p>
            <w:pPr>
              <w:pStyle w:val="Compact"/>
              <w:jc w:val="left"/>
            </w:pPr>
            <w:r>
              <w:t xml:space="preserve">Nullable.</w:t>
            </w:r>
          </w:p>
        </w:tc>
      </w:tr>
      <w:tr>
        <w:tc>
          <w:tcPr/>
          <w:p>
            <w:pPr>
              <w:pStyle w:val="Compact"/>
              <w:jc w:val="left"/>
            </w:pPr>
            <w:r>
              <w:t xml:space="preserve">partner</w:t>
            </w:r>
          </w:p>
        </w:tc>
        <w:tc>
          <w:tcPr/>
          <w:p>
            <w:pPr>
              <w:pStyle w:val="Compact"/>
              <w:jc w:val="left"/>
            </w:pPr>
            <w:r>
              <w:t xml:space="preserve">ReferralSourceId</w:t>
            </w:r>
          </w:p>
        </w:tc>
        <w:tc>
          <w:tcPr/>
          <w:p>
            <w:pPr>
              <w:pStyle w:val="Compact"/>
              <w:jc w:val="left"/>
            </w:pPr>
            <w:r>
              <w:t xml:space="preserve">eXp realty, brokerage names</w:t>
            </w:r>
          </w:p>
        </w:tc>
        <w:tc>
          <w:tcPr/>
          <w:p>
            <w:pPr>
              <w:pStyle w:val="Compact"/>
              <w:jc w:val="left"/>
            </w:pPr>
            <w:r>
              <w:t xml:space="preserve">Verbatim, never normalised. Also derives channel = partnership (DECIDED, this version).</w:t>
            </w:r>
          </w:p>
        </w:tc>
      </w:tr>
      <w:tr>
        <w:tc>
          <w:tcPr/>
          <w:p>
            <w:pPr>
              <w:pStyle w:val="Compact"/>
              <w:jc w:val="left"/>
            </w:pPr>
            <w:r>
              <w:t xml:space="preserve">market</w:t>
            </w:r>
          </w:p>
        </w:tc>
        <w:tc>
          <w:tcPr/>
          <w:p>
            <w:pPr>
              <w:pStyle w:val="Compact"/>
              <w:jc w:val="left"/>
            </w:pPr>
            <w:r>
              <w:t xml:space="preserve">Market</w:t>
            </w:r>
          </w:p>
        </w:tc>
        <w:tc>
          <w:tcPr/>
          <w:p>
            <w:pPr>
              <w:pStyle w:val="Compact"/>
              <w:jc w:val="left"/>
            </w:pPr>
            <w:r>
              <w:t xml:space="preserve">display name from the market configuration</w:t>
            </w:r>
          </w:p>
        </w:tc>
        <w:tc>
          <w:tcPr/>
          <w:p>
            <w:pPr>
              <w:pStyle w:val="Compact"/>
              <w:jc w:val="left"/>
            </w:pPr>
            <w:r>
              <w:t xml:space="preserve">Values NOT enumerated here — the config is the source of truth. CRM maps display names to its own market codes (e.g. Maryland → BAL).</w:t>
            </w:r>
          </w:p>
        </w:tc>
      </w:tr>
    </w:tbl>
    <w:bookmarkStart w:id="28" w:name="X7fefcf29aafbeaa6731fb1e92a0f953aa401167"/>
    <w:p>
      <w:pPr>
        <w:pStyle w:val="Heading2"/>
      </w:pPr>
      <w:r>
        <w:rPr>
          <w:bCs/>
          <w:b/>
        </w:rPr>
        <w:t xml:space="preserve">3a. PromoCode — reserved, with a named future use</w:t>
      </w:r>
    </w:p>
    <w:p>
      <w:pPr>
        <w:pStyle w:val="FirstParagraph"/>
      </w:pPr>
      <w:r>
        <w:t xml:space="preserve">Not used by attribution. Reserved for real promotional codes — now concretely: the creator/affiliate program (Strategy §4) pays per qualified lead against a unique per-creator code, and PromoCode is where that code lands. Before the first creator signs, confirm with engineering that PromoCode flows to the report like the other columns.</w:t>
      </w:r>
    </w:p>
    <w:bookmarkEnd w:id="28"/>
    <w:bookmarkStart w:id="29" w:name="Xbb72d70a2ee0e86010697f65826f921d602c34e"/>
    <w:p>
      <w:pPr>
        <w:pStyle w:val="Heading2"/>
      </w:pPr>
      <w:r>
        <w:rPr>
          <w:bCs/>
          <w:b/>
        </w:rPr>
        <w:t xml:space="preserve">3b. ReferralSourceId — verbatim, never normalised</w:t>
      </w:r>
    </w:p>
    <w:p>
      <w:pPr>
        <w:pStyle w:val="FirstParagraph"/>
      </w:pPr>
      <w:r>
        <w:t xml:space="preserve">Values pass through exactly as supplied (</w:t>
      </w:r>
      <w:r>
        <w:t xml:space="preserve">“</w:t>
      </w:r>
      <w:r>
        <w:t xml:space="preserve">eXp realty</w:t>
      </w:r>
      <w:r>
        <w:t xml:space="preserve">”</w:t>
      </w:r>
      <w:r>
        <w:t xml:space="preserve">), load-bearing for historical comparability. The open decision in v3.1 is closed: a partner-sourced lead ALSO derives channel = partnership and campaign = partner name, so partner volume appears in channel × market reporting. Interim caveat: non-partner web leads currently fall back to</w:t>
      </w:r>
      <w:r>
        <w:t xml:space="preserve"> </w:t>
      </w:r>
      <w:r>
        <w:t xml:space="preserve">“</w:t>
      </w:r>
      <w:r>
        <w:t xml:space="preserve">landing page</w:t>
      </w:r>
      <w:r>
        <w:t xml:space="preserve">”</w:t>
      </w:r>
      <w:r>
        <w:t xml:space="preserve"> </w:t>
      </w:r>
      <w:r>
        <w:t xml:space="preserve">in this column (recorded decision, revisit at site relaunch).</w:t>
      </w:r>
    </w:p>
    <w:bookmarkEnd w:id="29"/>
    <w:bookmarkStart w:id="30" w:name="c.-channel-vs-entrypoint"/>
    <w:p>
      <w:pPr>
        <w:pStyle w:val="Heading2"/>
      </w:pPr>
      <w:r>
        <w:rPr>
          <w:bCs/>
          <w:b/>
        </w:rPr>
        <w:t xml:space="preserve">3c. Channel vs entryPoint</w:t>
      </w:r>
    </w:p>
    <w:p>
      <w:pPr>
        <w:pStyle w:val="FirstParagraph"/>
      </w:pPr>
      <w:r>
        <w:t xml:space="preserve">One channel uses many doors; one door carries many channels. The test: would we change spend based on it? Yes → channel. Plumbing → entryPoint.</w:t>
      </w:r>
    </w:p>
    <w:bookmarkEnd w:id="30"/>
    <w:bookmarkStart w:id="31" w:name="d.-first-touch-vs-last-touch"/>
    <w:p>
      <w:pPr>
        <w:pStyle w:val="Heading2"/>
      </w:pPr>
      <w:r>
        <w:rPr>
          <w:bCs/>
          <w:b/>
        </w:rPr>
        <w:t xml:space="preserve">3d. First-touch vs last-touch</w:t>
      </w:r>
    </w:p>
    <w:p>
      <w:pPr>
        <w:pStyle w:val="FirstParagraph"/>
      </w:pPr>
      <w:r>
        <w:t xml:space="preserve">The channels we most want to grow — creator, field, partnership, events — sit at the top of the funnel and rarely get the final click. channel holds what converted the lead; LeadSource (firstTouchChannel) holds what originated it. Both are needed, side by side, in reporting.</w:t>
      </w:r>
    </w:p>
    <w:bookmarkEnd w:id="31"/>
    <w:bookmarkEnd w:id="32"/>
    <w:bookmarkStart w:id="33" w:name="channel-derivation"/>
    <w:p>
      <w:pPr>
        <w:pStyle w:val="Heading1"/>
      </w:pPr>
      <w:r>
        <w:rPr>
          <w:bCs/>
          <w:b/>
        </w:rPr>
        <w:t xml:space="preserve">4. Channel derivation</w:t>
      </w:r>
    </w:p>
    <w:p>
      <w:pPr>
        <w:pStyle w:val="FirstParagraph"/>
      </w:pPr>
      <w:r>
        <w:t xml:space="preserve">Defined once, in a single shared module imported by client and server. The list must never be defined in two places.</w:t>
      </w:r>
    </w:p>
    <w:p>
      <w:pPr>
        <w:pStyle w:val="BodyText"/>
      </w:pPr>
      <w:r>
        <w:t xml:space="preserve">VALID_CHANNELS = [</w:t>
      </w:r>
      <w:r>
        <w:t xml:space="preserve">“</w:t>
      </w:r>
      <w:r>
        <w:t xml:space="preserve">email</w:t>
      </w:r>
      <w:r>
        <w:t xml:space="preserve">”</w:t>
      </w:r>
      <w:r>
        <w:t xml:space="preserve">,</w:t>
      </w:r>
      <w:r>
        <w:t xml:space="preserve"> </w:t>
      </w:r>
      <w:r>
        <w:t xml:space="preserve">“</w:t>
      </w:r>
      <w:r>
        <w:t xml:space="preserve">paid_search</w:t>
      </w:r>
      <w:r>
        <w:t xml:space="preserve">”</w:t>
      </w:r>
      <w:r>
        <w:t xml:space="preserve">,</w:t>
      </w:r>
      <w:r>
        <w:t xml:space="preserve"> </w:t>
      </w:r>
      <w:r>
        <w:t xml:space="preserve">“</w:t>
      </w:r>
      <w:r>
        <w:t xml:space="preserve">paid_social</w:t>
      </w:r>
      <w:r>
        <w:t xml:space="preserve">”</w:t>
      </w:r>
      <w:r>
        <w:t xml:space="preserve">,</w:t>
      </w:r>
      <w:r>
        <w:t xml:space="preserve"> </w:t>
      </w:r>
      <w:r>
        <w:t xml:space="preserve">“</w:t>
      </w:r>
      <w:r>
        <w:t xml:space="preserve">creator</w:t>
      </w:r>
      <w:r>
        <w:t xml:space="preserve">”</w:t>
      </w:r>
      <w:r>
        <w:t xml:space="preserve">,</w:t>
      </w:r>
      <w:r>
        <w:t xml:space="preserve"> </w:t>
      </w:r>
      <w:r>
        <w:t xml:space="preserve">“</w:t>
      </w:r>
      <w:r>
        <w:t xml:space="preserve">hsm_field</w:t>
      </w:r>
      <w:r>
        <w:t xml:space="preserve">”</w:t>
      </w:r>
      <w:r>
        <w:t xml:space="preserve">,</w:t>
      </w:r>
      <w:r>
        <w:t xml:space="preserve"> </w:t>
      </w:r>
      <w:r>
        <w:t xml:space="preserve">“</w:t>
      </w:r>
      <w:r>
        <w:t xml:space="preserve">partnership</w:t>
      </w:r>
      <w:r>
        <w:t xml:space="preserve">”</w:t>
      </w:r>
      <w:r>
        <w:t xml:space="preserve">,</w:t>
      </w:r>
      <w:r>
        <w:t xml:space="preserve"> </w:t>
      </w:r>
      <w:r>
        <w:t xml:space="preserve">“</w:t>
      </w:r>
      <w:r>
        <w:t xml:space="preserve">organic</w:t>
      </w:r>
      <w:r>
        <w:t xml:space="preserve">”</w:t>
      </w:r>
      <w:r>
        <w:t xml:space="preserve">,</w:t>
      </w:r>
      <w:r>
        <w:t xml:space="preserve"> </w:t>
      </w:r>
      <w:r>
        <w:t xml:space="preserve">“</w:t>
      </w:r>
      <w:r>
        <w:t xml:space="preserve">referral</w:t>
      </w:r>
      <w:r>
        <w:t xml:space="preserve">”</w:t>
      </w:r>
      <w:r>
        <w:t xml:space="preserve">,</w:t>
      </w:r>
      <w:r>
        <w:t xml:space="preserve"> </w:t>
      </w:r>
      <w:r>
        <w:t xml:space="preserve">“</w:t>
      </w:r>
      <w:r>
        <w:t xml:space="preserve">direct</w:t>
      </w:r>
      <w:r>
        <w:t xml:space="preserve">”</w:t>
      </w:r>
      <w:r>
        <w:t xml:space="preserve">,</w:t>
      </w:r>
      <w:r>
        <w:t xml:space="preserve"> </w:t>
      </w:r>
      <w:r>
        <w:t xml:space="preserve">“</w:t>
      </w:r>
      <w:r>
        <w:t xml:space="preserve">event</w:t>
      </w:r>
      <w:r>
        <w:t xml:space="preserve">”</w:t>
      </w:r>
      <w:r>
        <w:t xml:space="preserve">]</w:t>
      </w:r>
    </w:p>
    <w:p>
      <w:pPr>
        <w:pStyle w:val="BodyText"/>
      </w:pPr>
      <w:r>
        <w:t xml:space="preserve">Absent utm_source →</w:t>
      </w:r>
      <w:r>
        <w:t xml:space="preserve"> </w:t>
      </w:r>
      <w:r>
        <w:t xml:space="preserve">“</w:t>
      </w:r>
      <w:r>
        <w:t xml:space="preserve">direct</w:t>
      </w:r>
      <w:r>
        <w:t xml:space="preserve">”</w:t>
      </w:r>
      <w:r>
        <w:t xml:space="preserve"> </w:t>
      </w:r>
      <w:r>
        <w:t xml:space="preserve">— never null, never</w:t>
      </w:r>
      <w:r>
        <w:t xml:space="preserve"> </w:t>
      </w:r>
      <w:r>
        <w:t xml:space="preserve">“</w:t>
      </w:r>
      <w:r>
        <w:t xml:space="preserve">landing page</w:t>
      </w:r>
      <w:r>
        <w:t xml:space="preserve">”</w:t>
      </w:r>
      <w:r>
        <w:t xml:space="preserve">. Unknown utm_source →</w:t>
      </w:r>
      <w:r>
        <w:t xml:space="preserve"> </w:t>
      </w:r>
      <w:r>
        <w:t xml:space="preserve">“</w:t>
      </w:r>
      <w:r>
        <w:t xml:space="preserve">direct</w:t>
      </w:r>
      <w:r>
        <w:t xml:space="preserve">”</w:t>
      </w:r>
      <w:r>
        <w:t xml:space="preserve">, raw value retained in UtmSource for audit.</w:t>
      </w:r>
      <w:r>
        <w:t xml:space="preserve"> </w:t>
      </w:r>
      <w:r>
        <w:t xml:space="preserve">“</w:t>
      </w:r>
      <w:r>
        <w:t xml:space="preserve">direct</w:t>
      </w:r>
      <w:r>
        <w:t xml:space="preserve">”</w:t>
      </w:r>
      <w:r>
        <w:t xml:space="preserve"> </w:t>
      </w:r>
      <w:r>
        <w:t xml:space="preserve">is honestly read as</w:t>
      </w:r>
      <w:r>
        <w:t xml:space="preserve"> </w:t>
      </w:r>
      <w:r>
        <w:t xml:space="preserve">“</w:t>
      </w:r>
      <w:r>
        <w:t xml:space="preserve">unattributed</w:t>
      </w:r>
      <w:r>
        <w:t xml:space="preserve">”</w:t>
      </w:r>
      <w:r>
        <w:t xml:space="preserve">.</w:t>
      </w:r>
    </w:p>
    <w:bookmarkEnd w:id="33"/>
    <w:bookmarkStart w:id="38" w:name="Xdd296cbc7671a7a0f6d488aa30068f9312373bb"/>
    <w:p>
      <w:pPr>
        <w:pStyle w:val="Heading1"/>
      </w:pPr>
      <w:r>
        <w:rPr>
          <w:bCs/>
          <w:b/>
        </w:rPr>
        <w:t xml:space="preserve">5. Capture mechanisms — four doors, one destination</w:t>
      </w:r>
    </w:p>
    <w:bookmarkStart w:id="34" w:name="a.-web-form-built"/>
    <w:p>
      <w:pPr>
        <w:pStyle w:val="Heading2"/>
      </w:pPr>
      <w:r>
        <w:rPr>
          <w:bCs/>
          <w:b/>
        </w:rPr>
        <w:t xml:space="preserve">5a. Web form (BUILT)</w:t>
      </w:r>
    </w:p>
    <w:p>
      <w:pPr>
        <w:pStyle w:val="FirstParagraph"/>
      </w:pPr>
      <w:r>
        <w:t xml:space="preserve">Covers email, paid, creator, event QR, and any tagged link. Attribution capture runs synchronously before the URL strip — any form refactor must preserve this ordering. First-touch: write-once localStorage {channel, campaign, ts}, 90-day TTL; absence is a valid state.</w:t>
      </w:r>
    </w:p>
    <w:bookmarkEnd w:id="34"/>
    <w:bookmarkStart w:id="35" w:name="X582eddee079d1e0eeca5a5c86f23ca7f644b55e"/>
    <w:p>
      <w:pPr>
        <w:pStyle w:val="Heading2"/>
      </w:pPr>
      <w:r>
        <w:rPr>
          <w:bCs/>
          <w:b/>
        </w:rPr>
        <w:t xml:space="preserve">5b. Phone door (NOT BUILT — now gating for events and mail)</w:t>
      </w:r>
    </w:p>
    <w:p>
      <w:pPr>
        <w:pStyle w:val="FirstParagraph"/>
      </w:pPr>
      <w:r>
        <w:t xml:space="preserve">Attribution comes from the tracking number dialed — one number per channel/campaign placement, whisper to the receptionist, entryPoint = phone. Every booth, brochure, mailer, and print asset produces phone leads; until this exists they all collapse into unattributed phone calls. Interim measure for ExpCon (Oct): a dedicated forwarding number printed only on booth material, hand-counted.</w:t>
      </w:r>
    </w:p>
    <w:bookmarkEnd w:id="35"/>
    <w:bookmarkStart w:id="36" w:name="c.-manual-door-not-built"/>
    <w:p>
      <w:pPr>
        <w:pStyle w:val="Heading2"/>
      </w:pPr>
      <w:r>
        <w:rPr>
          <w:bCs/>
          <w:b/>
        </w:rPr>
        <w:t xml:space="preserve">5c. Manual door (NOT BUILT)</w:t>
      </w:r>
    </w:p>
    <w:p>
      <w:pPr>
        <w:pStyle w:val="FirstParagraph"/>
      </w:pPr>
      <w:r>
        <w:t xml:space="preserve">Rep selects values, pre-defaulted to their channel/campaign; entryPoint = manual. Channel and campaign mandatory on creation. Required for the super-agent motion, where HSMs log meetings by hand.</w:t>
      </w:r>
    </w:p>
    <w:bookmarkEnd w:id="36"/>
    <w:bookmarkStart w:id="37" w:name="Xeea39d01b8197f0e234fb5c1f61a4163442a614"/>
    <w:p>
      <w:pPr>
        <w:pStyle w:val="Heading2"/>
      </w:pPr>
      <w:r>
        <w:rPr>
          <w:bCs/>
          <w:b/>
        </w:rPr>
        <w:t xml:space="preserve">5d. Inbound email-reply door (LIVE, UNATTRIBUTED)</w:t>
      </w:r>
    </w:p>
    <w:p>
      <w:pPr>
        <w:pStyle w:val="FirstParagraph"/>
      </w:pPr>
      <w:r>
        <w:t xml:space="preserve">channel = email, entryPoint = inbound_email, campaign best-effort from subject line. Today these write the literal strings</w:t>
      </w:r>
      <w:r>
        <w:t xml:space="preserve"> </w:t>
      </w:r>
      <w:r>
        <w:t xml:space="preserve">“</w:t>
      </w:r>
      <w:r>
        <w:t xml:space="preserve">Inbound Email</w:t>
      </w:r>
      <w:r>
        <w:t xml:space="preserve">”</w:t>
      </w:r>
      <w:r>
        <w:t xml:space="preserve"> </w:t>
      </w:r>
      <w:r>
        <w:t xml:space="preserve">into UtmSource/UtmMedium and the sender’s raw address into LeadSource — visible in the data window, and the concrete proof that LeadSource cannot be trusted until legacy writers are re-pointed.</w:t>
      </w:r>
    </w:p>
    <w:bookmarkEnd w:id="37"/>
    <w:bookmarkEnd w:id="38"/>
    <w:bookmarkStart w:id="40" w:name="the-outbound-payload-as-deployed-aug-26"/>
    <w:p>
      <w:pPr>
        <w:pStyle w:val="Heading1"/>
      </w:pPr>
      <w:r>
        <w:rPr>
          <w:bCs/>
          <w:b/>
        </w:rPr>
        <w:t xml:space="preserve">6. The outbound payload (as deployed Aug 26)</w:t>
      </w:r>
    </w:p>
    <w:p>
      <w:pPr>
        <w:pStyle w:val="FirstParagraph"/>
      </w:pPr>
      <w:r>
        <w:t xml:space="preserve">What the web app posts to the CRM intake endpoint. Sixteen keys. Identity fields derived server-side.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Payload key</w:t>
            </w:r>
          </w:p>
        </w:tc>
        <w:tc>
          <w:tcPr/>
          <w:p>
            <w:pPr>
              <w:pStyle w:val="Compact"/>
              <w:jc w:val="left"/>
            </w:pPr>
            <w:r>
              <w:rPr>
                <w:bCs/>
                <w:b/>
              </w:rPr>
              <w:t xml:space="preserve">CRM column</w:t>
            </w:r>
          </w:p>
        </w:tc>
        <w:tc>
          <w:tcPr/>
          <w:p>
            <w:pPr>
              <w:pStyle w:val="Compact"/>
              <w:jc w:val="left"/>
            </w:pPr>
            <w:r>
              <w:rPr>
                <w:bCs/>
                <w:b/>
              </w:rPr>
              <w:t xml:space="preserve">Status</w:t>
            </w:r>
          </w:p>
        </w:tc>
      </w:tr>
      <w:tr>
        <w:tc>
          <w:tcPr/>
          <w:p>
            <w:pPr>
              <w:pStyle w:val="Compact"/>
              <w:jc w:val="left"/>
            </w:pPr>
            <w:r>
              <w:t xml:space="preserve">channel</w:t>
            </w:r>
          </w:p>
        </w:tc>
        <w:tc>
          <w:tcPr/>
          <w:p>
            <w:pPr>
              <w:pStyle w:val="Compact"/>
              <w:jc w:val="left"/>
            </w:pPr>
            <w:r>
              <w:t xml:space="preserve">Channel</w:t>
            </w:r>
          </w:p>
        </w:tc>
        <w:tc>
          <w:tcPr/>
          <w:p>
            <w:pPr>
              <w:pStyle w:val="Compact"/>
              <w:jc w:val="left"/>
            </w:pPr>
            <w:r>
              <w:t xml:space="preserve">Working since July</w:t>
            </w:r>
          </w:p>
        </w:tc>
      </w:tr>
      <w:tr>
        <w:tc>
          <w:tcPr/>
          <w:p>
            <w:pPr>
              <w:pStyle w:val="Compact"/>
              <w:jc w:val="left"/>
            </w:pPr>
            <w:r>
              <w:t xml:space="preserve">utmSource</w:t>
            </w:r>
          </w:p>
        </w:tc>
        <w:tc>
          <w:tcPr/>
          <w:p>
            <w:pPr>
              <w:pStyle w:val="Compact"/>
              <w:jc w:val="left"/>
            </w:pPr>
            <w:r>
              <w:t xml:space="preserve">UtmSource</w:t>
            </w:r>
          </w:p>
        </w:tc>
        <w:tc>
          <w:tcPr/>
          <w:p>
            <w:pPr>
              <w:pStyle w:val="Compact"/>
              <w:jc w:val="left"/>
            </w:pPr>
            <w:r>
              <w:t xml:space="preserve">Working since July</w:t>
            </w:r>
          </w:p>
        </w:tc>
      </w:tr>
      <w:tr>
        <w:tc>
          <w:tcPr/>
          <w:p>
            <w:pPr>
              <w:pStyle w:val="Compact"/>
              <w:jc w:val="left"/>
            </w:pPr>
            <w:r>
              <w:t xml:space="preserve">utmCampaign</w:t>
            </w:r>
          </w:p>
        </w:tc>
        <w:tc>
          <w:tcPr/>
          <w:p>
            <w:pPr>
              <w:pStyle w:val="Compact"/>
              <w:jc w:val="left"/>
            </w:pPr>
            <w:r>
              <w:t xml:space="preserve">UtmCampaign</w:t>
            </w:r>
          </w:p>
        </w:tc>
        <w:tc>
          <w:tcPr/>
          <w:p>
            <w:pPr>
              <w:pStyle w:val="Compact"/>
              <w:jc w:val="left"/>
            </w:pPr>
            <w:r>
              <w:t xml:space="preserve">Working since July</w:t>
            </w:r>
          </w:p>
        </w:tc>
      </w:tr>
      <w:tr>
        <w:tc>
          <w:tcPr/>
          <w:p>
            <w:pPr>
              <w:pStyle w:val="Compact"/>
              <w:jc w:val="left"/>
            </w:pPr>
            <w:r>
              <w:t xml:space="preserve">utmMedium</w:t>
            </w:r>
          </w:p>
        </w:tc>
        <w:tc>
          <w:tcPr/>
          <w:p>
            <w:pPr>
              <w:pStyle w:val="Compact"/>
              <w:jc w:val="left"/>
            </w:pPr>
            <w:r>
              <w:t xml:space="preserve">UtmMedium</w:t>
            </w:r>
          </w:p>
        </w:tc>
        <w:tc>
          <w:tcPr/>
          <w:p>
            <w:pPr>
              <w:pStyle w:val="Compact"/>
              <w:jc w:val="left"/>
            </w:pPr>
            <w:r>
              <w:t xml:space="preserve">Working since July</w:t>
            </w:r>
          </w:p>
        </w:tc>
      </w:tr>
      <w:tr>
        <w:tc>
          <w:tcPr/>
          <w:p>
            <w:pPr>
              <w:pStyle w:val="Compact"/>
              <w:jc w:val="left"/>
            </w:pPr>
            <w:r>
              <w:t xml:space="preserve">Origin</w:t>
            </w:r>
          </w:p>
        </w:tc>
        <w:tc>
          <w:tcPr/>
          <w:p>
            <w:pPr>
              <w:pStyle w:val="Compact"/>
              <w:jc w:val="left"/>
            </w:pPr>
            <w:r>
              <w:t xml:space="preserve">Origin</w:t>
            </w:r>
          </w:p>
        </w:tc>
        <w:tc>
          <w:tcPr/>
          <w:p>
            <w:pPr>
              <w:pStyle w:val="Compact"/>
              <w:jc w:val="left"/>
            </w:pPr>
            <w:r>
              <w:t xml:space="preserve">RENAMED Aug 26 (was entryPoint — never matched)</w:t>
            </w:r>
          </w:p>
        </w:tc>
      </w:tr>
      <w:tr>
        <w:tc>
          <w:tcPr/>
          <w:p>
            <w:pPr>
              <w:pStyle w:val="Compact"/>
              <w:jc w:val="left"/>
            </w:pPr>
            <w:r>
              <w:t xml:space="preserve">LeadSource</w:t>
            </w:r>
          </w:p>
        </w:tc>
        <w:tc>
          <w:tcPr/>
          <w:p>
            <w:pPr>
              <w:pStyle w:val="Compact"/>
              <w:jc w:val="left"/>
            </w:pPr>
            <w:r>
              <w:t xml:space="preserve">LeadSource</w:t>
            </w:r>
          </w:p>
        </w:tc>
        <w:tc>
          <w:tcPr/>
          <w:p>
            <w:pPr>
              <w:pStyle w:val="Compact"/>
              <w:jc w:val="left"/>
            </w:pPr>
            <w:r>
              <w:t xml:space="preserve">RENAMED Aug 26 (was firstTouchChannel — never matched)</w:t>
            </w:r>
          </w:p>
        </w:tc>
      </w:tr>
      <w:tr>
        <w:tc>
          <w:tcPr/>
          <w:p>
            <w:pPr>
              <w:pStyle w:val="Compact"/>
              <w:jc w:val="left"/>
            </w:pPr>
            <w:r>
              <w:t xml:space="preserve">FirstTouchCampaign</w:t>
            </w:r>
          </w:p>
        </w:tc>
        <w:tc>
          <w:tcPr/>
          <w:p>
            <w:pPr>
              <w:pStyle w:val="Compact"/>
              <w:jc w:val="left"/>
            </w:pPr>
            <w:r>
              <w:t xml:space="preserve">FirstTouchCampaign</w:t>
            </w:r>
          </w:p>
        </w:tc>
        <w:tc>
          <w:tcPr/>
          <w:p>
            <w:pPr>
              <w:pStyle w:val="Compact"/>
              <w:jc w:val="left"/>
            </w:pPr>
            <w:r>
              <w:t xml:space="preserve">RENAMED Aug 26 (was firstTouchCampaign — did not match despite casing normalisation)</w:t>
            </w:r>
          </w:p>
        </w:tc>
      </w:tr>
      <w:tr>
        <w:tc>
          <w:tcPr/>
          <w:p>
            <w:pPr>
              <w:pStyle w:val="Compact"/>
              <w:jc w:val="left"/>
            </w:pPr>
            <w:r>
              <w:t xml:space="preserve">UtmContent</w:t>
            </w:r>
          </w:p>
        </w:tc>
        <w:tc>
          <w:tcPr/>
          <w:p>
            <w:pPr>
              <w:pStyle w:val="Compact"/>
              <w:jc w:val="left"/>
            </w:pPr>
            <w:r>
              <w:t xml:space="preserve">UtmContent</w:t>
            </w:r>
          </w:p>
        </w:tc>
        <w:tc>
          <w:tcPr/>
          <w:p>
            <w:pPr>
              <w:pStyle w:val="Compact"/>
              <w:jc w:val="left"/>
            </w:pPr>
            <w:r>
              <w:t xml:space="preserve">ADDED Aug 26 (was captured but never forwarded)</w:t>
            </w:r>
          </w:p>
        </w:tc>
      </w:tr>
      <w:tr>
        <w:tc>
          <w:tcPr/>
          <w:p>
            <w:pPr>
              <w:pStyle w:val="Compact"/>
              <w:jc w:val="left"/>
            </w:pPr>
            <w:r>
              <w:t xml:space="preserve">referralSourceId</w:t>
            </w:r>
          </w:p>
        </w:tc>
        <w:tc>
          <w:tcPr/>
          <w:p>
            <w:pPr>
              <w:pStyle w:val="Compact"/>
              <w:jc w:val="left"/>
            </w:pPr>
            <w:r>
              <w:t xml:space="preserve">ReferralSourceId</w:t>
            </w:r>
          </w:p>
        </w:tc>
        <w:tc>
          <w:tcPr/>
          <w:p>
            <w:pPr>
              <w:pStyle w:val="Compact"/>
              <w:jc w:val="left"/>
            </w:pPr>
            <w:r>
              <w:t xml:space="preserve">Unchanged;</w:t>
            </w:r>
            <w:r>
              <w:t xml:space="preserve"> </w:t>
            </w:r>
            <w:r>
              <w:t xml:space="preserve">“</w:t>
            </w:r>
            <w:r>
              <w:t xml:space="preserve">landing page</w:t>
            </w:r>
            <w:r>
              <w:t xml:space="preserve">”</w:t>
            </w:r>
            <w:r>
              <w:t xml:space="preserve"> </w:t>
            </w:r>
            <w:r>
              <w:t xml:space="preserve">fallback retained (interim)</w:t>
            </w:r>
          </w:p>
        </w:tc>
      </w:tr>
      <w:tr>
        <w:tc>
          <w:tcPr/>
          <w:p>
            <w:pPr>
              <w:pStyle w:val="Compact"/>
              <w:jc w:val="left"/>
            </w:pPr>
            <w:r>
              <w:t xml:space="preserve">—</w:t>
            </w:r>
          </w:p>
        </w:tc>
        <w:tc>
          <w:tcPr/>
          <w:p>
            <w:pPr>
              <w:pStyle w:val="Compact"/>
              <w:jc w:val="left"/>
            </w:pPr>
            <w:r>
              <w:t xml:space="preserve">PromoCode</w:t>
            </w:r>
          </w:p>
        </w:tc>
        <w:tc>
          <w:tcPr/>
          <w:p>
            <w:pPr>
              <w:pStyle w:val="Compact"/>
              <w:jc w:val="left"/>
            </w:pPr>
            <w:r>
              <w:t xml:space="preserve">Reserved (future creator codes)</w:t>
            </w:r>
          </w:p>
        </w:tc>
      </w:tr>
      <w:tr>
        <w:tc>
          <w:tcPr/>
          <w:p>
            <w:pPr>
              <w:pStyle w:val="Compact"/>
              <w:jc w:val="left"/>
            </w:pPr>
            <w:r>
              <w:t xml:space="preserve">—</w:t>
            </w:r>
          </w:p>
        </w:tc>
        <w:tc>
          <w:tcPr/>
          <w:p>
            <w:pPr>
              <w:pStyle w:val="Compact"/>
              <w:jc w:val="left"/>
            </w:pPr>
            <w:r>
              <w:t xml:space="preserve">UtmTerm</w:t>
            </w:r>
          </w:p>
        </w:tc>
        <w:tc>
          <w:tcPr/>
          <w:p>
            <w:pPr>
              <w:pStyle w:val="Compact"/>
              <w:jc w:val="left"/>
            </w:pPr>
            <w:r>
              <w:t xml:space="preserve">Intentionally never sent; column stays empty</w:t>
            </w:r>
          </w:p>
        </w:tc>
      </w:tr>
    </w:tbl>
    <w:p>
      <w:pPr>
        <w:pStyle w:val="BodyText"/>
      </w:pPr>
      <w:r>
        <w:t xml:space="preserve">Removed Aug 26: the dead medium key (duplicated utmMedium, no destination column). Not sent, by prior decisions: utm_term, leadId, GA client id, variant (variant now travels via UtmContent), full name string, submittedAt.</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t xml:space="preserve">Verification protocol: one production test lead with every field populated and first-touch deliberately DIFFERENT from last-touch (e.g. first-touch creator/testcampaign-firsttouch vs last-touch email/testcampaign-lasttouch). Distinct values per field prove independent storage — identical values cannot. Status: in flight at time of writing; record the result here.</w:t>
            </w:r>
          </w:p>
        </w:tc>
      </w:tr>
    </w:tbl>
    <w:bookmarkStart w:id="39" w:name="a.-note-on-market"/>
    <w:p>
      <w:pPr>
        <w:pStyle w:val="Heading2"/>
      </w:pPr>
      <w:r>
        <w:rPr>
          <w:bCs/>
          <w:b/>
        </w:rPr>
        <w:t xml:space="preserve">6a. Note on market</w:t>
      </w:r>
    </w:p>
    <w:p>
      <w:pPr>
        <w:pStyle w:val="FirstParagraph"/>
      </w:pPr>
      <w:r>
        <w:t xml:space="preserve">The URL may carry a slug that pre-selects the page, but the authoritative Market value derives from the entered address. The stored value is the display name; the CRM maps display names to its internal market codes (confirmed: Maryland → BAL). The mapping table lives on the CRM side — confirm behaviour for any market string the mapper has not seen before launching a new market.</w:t>
      </w:r>
    </w:p>
    <w:bookmarkEnd w:id="39"/>
    <w:bookmarkEnd w:id="40"/>
    <w:bookmarkStart w:id="41" w:name="Xc5d6327ccded418ca0a64c23ee047ead06d0dfd"/>
    <w:p>
      <w:pPr>
        <w:pStyle w:val="Heading1"/>
      </w:pPr>
      <w:r>
        <w:rPr>
          <w:bCs/>
          <w:b/>
        </w:rPr>
        <w:t xml:space="preserve">7. Naming convention — lock before any new links are built</w:t>
      </w:r>
    </w:p>
    <w:p>
      <w:pPr>
        <w:pStyle w:val="FirstParagraph"/>
      </w:pPr>
      <w:r>
        <w:t xml:space="preserve">utm_source is always one of the ten channel values, spelled exactly. Lowercase, no spaces. Both email platforms (ActiveCampaign opt-in, Instantly cold) send utm_source=email — the cold-/nurture- prefix separates the domains; a platform name in utm_source would mint a phantom channel and derive to direct.</w:t>
      </w:r>
    </w:p>
    <w:p>
      <w:pPr>
        <w:pStyle w:val="BodyText"/>
      </w:pPr>
      <w:r>
        <w:t xml:space="preserve">utm_campaign follows [tactic]-[descriptor]-[market-or-date], lowercase, hyphens. The leading tactic token rolls up under one channel. NEW: for the split email program, cold sends begin cold-, opt-in sends begin nurture- — this is how the two domains stay separable in reporting with no new fields. Event campaigns lead with the event (expcon-booth-oct, webinar-followup-nov).</w:t>
      </w:r>
    </w:p>
    <w:p>
      <w:pPr>
        <w:pStyle w:val="BodyText"/>
      </w:pPr>
      <w:r>
        <w:t xml:space="preserve">utm_medium is one of: e, cpc, social, print, qr, collateral.</w:t>
      </w:r>
    </w:p>
    <w:p>
      <w:pPr>
        <w:pStyle w:val="BodyText"/>
      </w:pPr>
      <w:r>
        <w:t xml:space="preserve">utm_content carries the variant or creative identifier.</w:t>
      </w:r>
    </w:p>
    <w:p>
      <w:pPr>
        <w:pStyle w:val="BodyText"/>
      </w:pPr>
      <w:r>
        <w:t xml:space="preserve">One shared UTM builder as the single source of truth; values never hand-typed. The data window shows why: two July campaigns carry invisible trailing whitespace and will never aggregate with their clean twins. Until the builder exists, treat campaign as best-effort. And per v3.3: every match against lead-data strings normalizes first — trim, collapse whitespace, strip non-breaking and zero-width characters, lowercase — with unmatched values logged raw, never silently defaulted.</w:t>
      </w:r>
    </w:p>
    <w:bookmarkEnd w:id="41"/>
    <w:bookmarkStart w:id="42" w:name="enforcement"/>
    <w:p>
      <w:pPr>
        <w:pStyle w:val="Heading1"/>
      </w:pPr>
      <w:r>
        <w:rPr>
          <w:bCs/>
          <w:b/>
        </w:rPr>
        <w:t xml:space="preserve">8. Enforcement</w:t>
      </w:r>
    </w:p>
    <w:p>
      <w:pPr>
        <w:pStyle w:val="FirstParagraph"/>
      </w:pPr>
      <w:r>
        <w:t xml:space="preserve">channel required, closed-list, validated in the web app; ideally also a CRM-side pick-list. Kill</w:t>
      </w:r>
      <w:r>
        <w:t xml:space="preserve"> </w:t>
      </w:r>
      <w:r>
        <w:t xml:space="preserve">“</w:t>
      </w:r>
      <w:r>
        <w:t xml:space="preserve">OTHER</w:t>
      </w:r>
      <w:r>
        <w:t xml:space="preserve">”</w:t>
      </w:r>
      <w:r>
        <w:t xml:space="preserve"> </w:t>
      </w:r>
      <w:r>
        <w:t xml:space="preserve">as a resting state — triage queue, cleared weekly. Mandatory channel + campaign on manual creation, pre-defaulted per rep. One-time backfill of legacy records maps the ReferralSource junk drawer (www.curbio.com, Phone Call, landing page, Other, lonewolf, Inbound Email, partner labels, page URLs) onto the model — imperfect for history, clean baseline forward. EXECUTED Aug 29; the mapping lives in config/referral-backfill.ts (v1.0.0) and the results are recorded in the v3.3 change table.</w:t>
      </w:r>
    </w:p>
    <w:bookmarkEnd w:id="42"/>
    <w:bookmarkStart w:id="43" w:name="dark-traffic-the-honest-limit"/>
    <w:p>
      <w:pPr>
        <w:pStyle w:val="Heading1"/>
      </w:pPr>
      <w:r>
        <w:rPr>
          <w:bCs/>
          <w:b/>
        </w:rPr>
        <w:t xml:space="preserve">9. Dark traffic — the honest limit</w:t>
      </w:r>
    </w:p>
    <w:p>
      <w:pPr>
        <w:pStyle w:val="FirstParagraph"/>
      </w:pPr>
      <w:r>
        <w:t xml:space="preserve">An agent who reads an email and later types curbio.com is indistinguishable from a cold visitor. Shrink and estimate the unknown bucket: self-reported attribution (single dropdown, deferred, now testable against the ~10% baseline); email-only destinations (sell.curbio.com already serves this); identity matching of submitted emails against campaign sends (capability unconfirmed); holdout tests (withhold a campaign from 10% of a market; the lift elsewhere is its true contribution). Last-click says where leads finished; self-report and holdouts say what caused them. The channels we most want to grow are inherently dark.</w:t>
      </w:r>
    </w:p>
    <w:bookmarkEnd w:id="43"/>
    <w:bookmarkStart w:id="44" w:name="what-this-enables"/>
    <w:p>
      <w:pPr>
        <w:pStyle w:val="Heading1"/>
      </w:pPr>
      <w:r>
        <w:rPr>
          <w:bCs/>
          <w:b/>
        </w:rPr>
        <w:t xml:space="preserve">10. What this enables</w:t>
      </w:r>
    </w:p>
    <w:p>
      <w:pPr>
        <w:pStyle w:val="FirstParagraph"/>
      </w:pPr>
      <w:r>
        <w:t xml:space="preserve">Every lead carrying these fields lets the reporting layer slice the funnel (Lead → Spoke with Agent → Meeting Scheduled → Completed Walkthrough → Proposal Sent → Closed) by channel × market, CAC and close rate per cell, first-touch beside last-touch. That view drives budget and headcount, and answers whether a low close rate is a rep problem or a lead-source problem. The data window above is the first real input; the dashboard join to email and spend is the remaining build.</w:t>
      </w:r>
    </w:p>
    <w:bookmarkEnd w:id="44"/>
    <w:bookmarkStart w:id="45" w:name="open-engineering-questions"/>
    <w:p>
      <w:pPr>
        <w:pStyle w:val="Heading1"/>
      </w:pPr>
      <w:r>
        <w:rPr>
          <w:bCs/>
          <w:b/>
        </w:rPr>
        <w:t xml:space="preserve">11. Open engineering questions</w:t>
      </w:r>
    </w:p>
    <w:p>
      <w:pPr>
        <w:pStyle w:val="FirstParagraph"/>
      </w:pPr>
      <w:r>
        <w:t xml:space="preserve">• Verify the Aug 26 fix on a real record: Origin, LeadSource, FirstTouchCampaign, UtmContent populated on the Estimate. (Test lead in flight.)</w:t>
      </w:r>
    </w:p>
    <w:p>
      <w:pPr>
        <w:pStyle w:val="BodyText"/>
      </w:pPr>
      <w:r>
        <w:t xml:space="preserve">• Re-point the legacy LeadSource writers (phone, mobile app, inbound email) so the column can hold first-touch exclusively. Until then, its values are mixed-meaning.</w:t>
      </w:r>
    </w:p>
    <w:p>
      <w:pPr>
        <w:pStyle w:val="BodyText"/>
      </w:pPr>
      <w:r>
        <w:t xml:space="preserve">• PromoCode → report: confirm it flows like the other columns before the first creator contract.</w:t>
      </w:r>
    </w:p>
    <w:p>
      <w:pPr>
        <w:pStyle w:val="BodyText"/>
      </w:pPr>
      <w:r>
        <w:t xml:space="preserve">• Phone and manual doors: confirm call tracking and manual creation write to the same fields. Now gating for the event and mail motions.</w:t>
      </w:r>
    </w:p>
    <w:p>
      <w:pPr>
        <w:pStyle w:val="BodyText"/>
      </w:pPr>
      <w:r>
        <w:t xml:space="preserve">• CRM-side pick-list for Channel — or validation remains solely in our code.</w:t>
      </w:r>
    </w:p>
    <w:p>
      <w:pPr>
        <w:pStyle w:val="BodyText"/>
      </w:pPr>
      <w:r>
        <w:t xml:space="preserve">• Market mapper behaviour for unseen market strings (new-market launches).</w:t>
      </w:r>
    </w:p>
    <w:p>
      <w:pPr>
        <w:pStyle w:val="BodyText"/>
      </w:pPr>
      <w:r>
        <w:t xml:space="preserve">• Dashboard: join the report to email platform and paid spend for the channel × market view.</w:t>
      </w:r>
    </w:p>
    <w:p>
      <w:pPr>
        <w:pStyle w:val="BodyText"/>
      </w:pPr>
      <w:r>
        <w:rPr>
          <w:iCs/>
          <w:i/>
        </w:rPr>
        <w:t xml:space="preserve">Companion document: Curbio Marketing Strategy, Goals</w:t>
      </w:r>
      <w:r>
        <w:rPr>
          <w:iCs/>
          <w:i/>
        </w:rPr>
        <w:t xml:space="preserve"> </w:t>
      </w:r>
      <w:r>
        <w:rPr>
          <w:bCs/>
          <w:b/>
          <w:iCs/>
          <w:i/>
        </w:rPr>
        <w:t xml:space="preserve">&amp;</w:t>
      </w:r>
      <w:r>
        <w:rPr>
          <w:iCs/>
          <w:i/>
        </w:rPr>
        <w:t xml:space="preserve"> </w:t>
      </w:r>
      <w:r>
        <w:rPr>
          <w:iCs/>
          <w:i/>
        </w:rPr>
        <w:t xml:space="preserve">Attribution (v1.0, July 2026). Where both describe the field model, this document is authoritative on implementation detail.</w:t>
      </w:r>
    </w:p>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2026-08-29T20:02:16Z</dcterms:created>
  <dcterms:modified xsi:type="dcterms:W3CDTF">2026-08-29T20:02:16Z</dcterms:modified>
</cp:coreProperties>
</file>

<file path=docProps/custom.xml><?xml version="1.0" encoding="utf-8"?>
<Properties xmlns="http://schemas.openxmlformats.org/officeDocument/2006/custom-properties" xmlns:vt="http://schemas.openxmlformats.org/officeDocument/2006/docPropsVTypes"/>
</file>