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CURBIO</w:t>
      </w:r>
    </w:p>
    <w:p>
      <w:pPr>
        <w:pStyle w:val="BodyText"/>
      </w:pPr>
      <w:r>
        <w:rPr>
          <w:bCs/>
          <w:b/>
        </w:rPr>
        <w:t xml:space="preserve">Marketing Strategy, Goals &amp;</w:t>
      </w:r>
      <w:r>
        <w:t xml:space="preserve">** Attribution**</w:t>
      </w:r>
    </w:p>
    <w:p>
      <w:pPr>
        <w:pStyle w:val="BodyText"/>
      </w:pPr>
      <w:r>
        <w:t xml:space="preserve">The Magnificent Seven — one consolidated plan with priorities, numbers, timeline, and budget</w:t>
      </w:r>
    </w:p>
    <w:p>
      <w:pPr>
        <w:pStyle w:val="BodyText"/>
      </w:pPr>
      <w:r>
        <w:rPr>
          <w:iCs/>
          <w:i/>
        </w:rPr>
        <w:t xml:space="preserve">v1.1 · August 29, 2026 · Supersedes v1.0 (July 2026). The Attribution System spec (v3.3) is authoritative on implementation detail.</w:t>
      </w:r>
    </w:p>
    <w:bookmarkStart w:id="20" w:name="changes-in-v1.1"/>
    <w:p>
      <w:pPr>
        <w:pStyle w:val="Heading1"/>
      </w:pPr>
      <w:r>
        <w:t xml:space="preserve">Changes in v1.1</w:t>
      </w:r>
    </w:p>
    <w:p>
      <w:pPr>
        <w:pStyle w:val="FirstParagraph"/>
      </w:pPr>
      <w:r>
        <w:t xml:space="preserve">v1.1 syncs this document to what has actually been built and decided through Aug 29. The plan itself — the Magnificent Seven, the tiers, the numbers — is unchanged.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Change</w:t>
            </w:r>
          </w:p>
        </w:tc>
        <w:tc>
          <w:tcPr/>
          <w:p>
            <w:pPr>
              <w:pStyle w:val="Compact"/>
              <w:jc w:val="left"/>
            </w:pPr>
            <w:r>
              <w:rPr>
                <w:bCs/>
                <w:b/>
              </w:rPr>
              <w:t xml:space="preserve">Detail</w:t>
            </w:r>
          </w:p>
        </w:tc>
      </w:tr>
      <w:tr>
        <w:tc>
          <w:tcPr/>
          <w:p>
            <w:pPr>
              <w:pStyle w:val="Compact"/>
              <w:jc w:val="left"/>
            </w:pPr>
            <w:r>
              <w:t xml:space="preserve">§4 backfill table SUPERSEDED</w:t>
            </w:r>
          </w:p>
        </w:tc>
        <w:tc>
          <w:tcPr/>
          <w:p>
            <w:pPr>
              <w:pStyle w:val="Compact"/>
              <w:jc w:val="left"/>
            </w:pPr>
            <w:r>
              <w:t xml:space="preserve">The one-time backfill ran on Aug 29 and the implemented mapping differs from the sketch below in two places: landing page (all case variants) maps to channel email — an email CTA click is the only path onto those pages — and lonewolf maps to partnership, flagged low-confidence for reclassification. Full mapping: Inbound Email → email / entry inbound_email; Phone Call → direct / entry phone; partner labels → partnership, campaign = partner name; www.curbio.com, curbio.com/* pages, and city LPs → direct per spec §4/§9. The authority is config/referral-backfill.ts (v1.0.0), not the table in §4. Result across 852 deals: email 10.2%, partnership 14.4%, direct 75.4% — the honest historical ceiling.</w:t>
            </w:r>
          </w:p>
        </w:tc>
      </w:tr>
      <w:tr>
        <w:tc>
          <w:tcPr/>
          <w:p>
            <w:pPr>
              <w:pStyle w:val="Compact"/>
              <w:jc w:val="left"/>
            </w:pPr>
            <w:r>
              <w:t xml:space="preserve">Channel list is TEN</w:t>
            </w:r>
          </w:p>
        </w:tc>
        <w:tc>
          <w:tcPr/>
          <w:p>
            <w:pPr>
              <w:pStyle w:val="Compact"/>
              <w:jc w:val="left"/>
            </w:pPr>
            <w:r>
              <w:t xml:space="preserve">event was added Aug 26 (spec v3.2) ahead of the October push. Every</w:t>
            </w:r>
            <w:r>
              <w:t xml:space="preserve"> </w:t>
            </w:r>
            <w:r>
              <w:t xml:space="preserve">“</w:t>
            </w:r>
            <w:r>
              <w:t xml:space="preserve">nine-value</w:t>
            </w:r>
            <w:r>
              <w:t xml:space="preserve">”</w:t>
            </w:r>
            <w:r>
              <w:t xml:space="preserve"> </w:t>
            </w:r>
            <w:r>
              <w:t xml:space="preserve">reference below is corrected to ten. mail remains next-in-line, added only when direct mail launches.</w:t>
            </w:r>
          </w:p>
        </w:tc>
      </w:tr>
      <w:tr>
        <w:tc>
          <w:tcPr/>
          <w:p>
            <w:pPr>
              <w:pStyle w:val="Compact"/>
              <w:jc w:val="left"/>
            </w:pPr>
            <w:r>
              <w:t xml:space="preserve">Email platform status</w:t>
            </w:r>
          </w:p>
        </w:tc>
        <w:tc>
          <w:tcPr/>
          <w:p>
            <w:pPr>
              <w:pStyle w:val="Compact"/>
              <w:jc w:val="left"/>
            </w:pPr>
            <w:r>
              <w:t xml:space="preserve">Sends ran through Mailchimp through Aug 29 (6 market audiences; 648 campaigns YTD; Seattle and Riverside have no audience yet). Migration to the split architecture — opt-in via ActiveCampaign, cold via Instantly — begins the first week of September. Both send utm_source=email; the cold-/nurture- prefix separates the domains. Historical Mailchimp attribution is preserved in the dashboard via the Aug 29 backfill (utm_source: mailchimp).</w:t>
            </w:r>
          </w:p>
        </w:tc>
      </w:tr>
      <w:tr>
        <w:tc>
          <w:tcPr/>
          <w:p>
            <w:pPr>
              <w:pStyle w:val="Compact"/>
              <w:jc w:val="left"/>
            </w:pPr>
            <w:r>
              <w:t xml:space="preserve">Reporting layer: BUILT</w:t>
            </w:r>
          </w:p>
        </w:tc>
        <w:tc>
          <w:tcPr/>
          <w:p>
            <w:pPr>
              <w:pStyle w:val="Compact"/>
              <w:jc w:val="left"/>
            </w:pPr>
            <w:r>
              <w:t xml:space="preserve">“</w:t>
            </w:r>
            <w:r>
              <w:t xml:space="preserve">Nothing today joins CRM + email + spend</w:t>
            </w:r>
            <w:r>
              <w:t xml:space="preserve">”</w:t>
            </w:r>
            <w:r>
              <w:t xml:space="preserve"> </w:t>
            </w:r>
            <w:r>
              <w:t xml:space="preserve">is no longer true. The ops dashboard at sell.curbio.com/admin joins the CRM snapshot and Mailchimp into the channel × market view — Qualified/Engaged/Closed/Revenue by market and channel, first-touch beside last-touch, attribution health with a Measured/Inferred filter, and an Ask assistant grounded in these documents. Outstanding: the paid-spend join (blocks CAC everywhere) and the two email webhooks (wired at migration).</w:t>
            </w:r>
          </w:p>
        </w:tc>
      </w:tr>
      <w:tr>
        <w:tc>
          <w:tcPr/>
          <w:p>
            <w:pPr>
              <w:pStyle w:val="Compact"/>
              <w:jc w:val="left"/>
            </w:pPr>
            <w:r>
              <w:t xml:space="preserve">Markets: 8 active</w:t>
            </w:r>
          </w:p>
        </w:tc>
        <w:tc>
          <w:tcPr/>
          <w:p>
            <w:pPr>
              <w:pStyle w:val="Compact"/>
              <w:jc w:val="left"/>
            </w:pPr>
            <w:r>
              <w:t xml:space="preserve">Seattle opened; San Diego closed (history retained, excluded from pace and targets); SMD/NMD/BAL consolidated into one Maryland (CRM code stays BAL). config/market-map.ts is the authority; this doc no longer enumerates markets.</w:t>
            </w:r>
          </w:p>
        </w:tc>
      </w:tr>
    </w:tbl>
    <w:bookmarkEnd w:id="20"/>
    <w:bookmarkStart w:id="22" w:name="the-mandate"/>
    <w:p>
      <w:pPr>
        <w:pStyle w:val="Heading1"/>
      </w:pPr>
      <w:r>
        <w:t xml:space="preserve">1. The mandate</w:t>
      </w:r>
    </w:p>
    <w:p>
      <w:pPr>
        <w:pStyle w:val="FirstParagraph"/>
      </w:pPr>
      <w:r>
        <w:t xml:space="preserve">From the CEO memo: more leads is the top priority, followed by hiring stager/HSMs who bring a built-in revenue stream. Both lead to more sales. Marketing’s job is to crystallize a comprehensive plan with priorities, numbers, timeline, and budget — and to review results monthly with the team.</w:t>
      </w:r>
    </w:p>
    <w:p>
      <w:pPr>
        <w:pStyle w:val="BodyText"/>
      </w:pPr>
      <w:r>
        <w:rPr>
          <w:bCs/>
          <w:b/>
        </w:rPr>
        <w:t xml:space="preserve">The stated prize:</w:t>
      </w:r>
      <w:r>
        <w:rPr>
          <w:bCs/>
          <w:b/>
        </w:rPr>
        <w:t xml:space="preserve"> </w:t>
      </w:r>
      <w:r>
        <w:t xml:space="preserve">execute the Magnificent Seven well and quadruple sales over the next 12 months. Then apply the same blueprint across an expanding market footprint to reach $100M in sales and a $400–500M exit.</w:t>
      </w:r>
    </w:p>
    <w:p>
      <w:pPr>
        <w:pStyle w:val="BodyText"/>
      </w:pPr>
      <w:r>
        <w:t xml:space="preserve">Owner: Gavin, with Aaron and Levi. Input from the CEO, Rich (engineering/data), and Matt (partnerships history).</w:t>
      </w:r>
    </w:p>
    <w:bookmarkStart w:id="21" w:name="X784f030c37ff4055cedecb24a4a5c75886622fe"/>
    <w:p>
      <w:pPr>
        <w:pStyle w:val="Heading2"/>
      </w:pPr>
      <w:r>
        <w:t xml:space="preserve">Goal architecture — how the top-line target becomes a marketing number</w:t>
      </w:r>
    </w:p>
    <w:p>
      <w:pPr>
        <w:pStyle w:val="FirstParagraph"/>
      </w:pPr>
      <w:r>
        <w:t xml:space="preserve">“</w:t>
      </w:r>
      <w:r>
        <w:t xml:space="preserve">Quadruple sales</w:t>
      </w:r>
      <w:r>
        <w:t xml:space="preserve">”</w:t>
      </w:r>
      <w:r>
        <w:t xml:space="preserve"> </w:t>
      </w:r>
      <w:r>
        <w:t xml:space="preserve">is the business goal. Marketing needs an operating target it can manage weekly. The bridge is the funnel math already established: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Layer</w:t>
            </w:r>
          </w:p>
        </w:tc>
        <w:tc>
          <w:tcPr/>
          <w:p>
            <w:pPr>
              <w:pStyle w:val="Compact"/>
              <w:jc w:val="left"/>
            </w:pPr>
            <w:r>
              <w:rPr>
                <w:bCs/>
                <w:b/>
              </w:rPr>
              <w:t xml:space="preserve">Target</w:t>
            </w:r>
          </w:p>
        </w:tc>
      </w:tr>
      <w:tr>
        <w:tc>
          <w:tcPr/>
          <w:p>
            <w:pPr>
              <w:pStyle w:val="Compact"/>
              <w:jc w:val="left"/>
            </w:pPr>
            <w:r>
              <w:t xml:space="preserve">Business goal (CEO)</w:t>
            </w:r>
          </w:p>
        </w:tc>
        <w:tc>
          <w:tcPr/>
          <w:p>
            <w:pPr>
              <w:pStyle w:val="Compact"/>
              <w:jc w:val="left"/>
            </w:pPr>
            <w:r>
              <w:t xml:space="preserve">4× sales in 12 months; path to $100M</w:t>
            </w:r>
          </w:p>
        </w:tc>
      </w:tr>
      <w:tr>
        <w:tc>
          <w:tcPr/>
          <w:p>
            <w:pPr>
              <w:pStyle w:val="Compact"/>
              <w:jc w:val="left"/>
            </w:pPr>
            <w:r>
              <w:t xml:space="preserve">Marketing operating target</w:t>
            </w:r>
          </w:p>
        </w:tc>
        <w:tc>
          <w:tcPr/>
          <w:p>
            <w:pPr>
              <w:pStyle w:val="Compact"/>
              <w:jc w:val="left"/>
            </w:pPr>
            <w:r>
              <w:t xml:space="preserve">50 qualified leads (SQL/RFQ) per market, per month</w:t>
            </w:r>
          </w:p>
        </w:tc>
      </w:tr>
      <w:tr>
        <w:tc>
          <w:tcPr/>
          <w:p>
            <w:pPr>
              <w:pStyle w:val="Compact"/>
              <w:jc w:val="left"/>
            </w:pPr>
            <w:r>
              <w:t xml:space="preserve">Why that number</w:t>
            </w:r>
          </w:p>
        </w:tc>
        <w:tc>
          <w:tcPr/>
          <w:p>
            <w:pPr>
              <w:pStyle w:val="Compact"/>
              <w:jc w:val="left"/>
            </w:pPr>
            <w:r>
              <w:t xml:space="preserve">At the A-player close rate (~14.5%), 50 leads ≈ 7 deals/month/market. At today’s team average (~6%), the same 50 produce 3.</w:t>
            </w:r>
          </w:p>
        </w:tc>
      </w:tr>
      <w:tr>
        <w:tc>
          <w:tcPr/>
          <w:p>
            <w:pPr>
              <w:pStyle w:val="Compact"/>
              <w:jc w:val="left"/>
            </w:pPr>
            <w:r>
              <w:t xml:space="preserve">The second lever</w:t>
            </w:r>
          </w:p>
        </w:tc>
        <w:tc>
          <w:tcPr/>
          <w:p>
            <w:pPr>
              <w:pStyle w:val="Compact"/>
              <w:jc w:val="left"/>
            </w:pPr>
            <w:r>
              <w:t xml:space="preserve">Close-rate improvement is worth more than volume: moving the team from ~6% to ~10% at ~$25k ACV is roughly $400k incremental per quarter. No amount of top-of-funnel work matches that.</w:t>
            </w:r>
          </w:p>
        </w:tc>
      </w:tr>
      <w:tr>
        <w:tc>
          <w:tcPr/>
          <w:p>
            <w:pPr>
              <w:pStyle w:val="Compact"/>
              <w:jc w:val="left"/>
            </w:pPr>
            <w:r>
              <w:t xml:space="preserve">Therefore</w:t>
            </w:r>
          </w:p>
        </w:tc>
        <w:tc>
          <w:tcPr/>
          <w:p>
            <w:pPr>
              <w:pStyle w:val="Compact"/>
              <w:jc w:val="left"/>
            </w:pPr>
            <w:r>
              <w:t xml:space="preserve">Marketing owns qualified lead volume AND rep enablement. Optimizing for raw form-fills floods HSMs with leads the average rep can’t close.</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The one number to hold everyone to</w:t>
            </w:r>
            <w:r>
              <w:t xml:space="preserve"> </w:t>
            </w:r>
            <w:r>
              <w:t xml:space="preserve">50 qualified leads per market per month, where</w:t>
            </w:r>
            <w:r>
              <w:t xml:space="preserve"> </w:t>
            </w:r>
            <w:r>
              <w:t xml:space="preserve">“</w:t>
            </w:r>
            <w:r>
              <w:t xml:space="preserve">qualified</w:t>
            </w:r>
            <w:r>
              <w:t xml:space="preserve">”</w:t>
            </w:r>
            <w:r>
              <w:t xml:space="preserve"> </w:t>
            </w:r>
            <w:r>
              <w:t xml:space="preserve">means a valid, in-market RFQ the average HSM — not just the best one — can work. Volume that doesn’t meet that bar is not progress.</w:t>
            </w:r>
          </w:p>
        </w:tc>
      </w:tr>
    </w:tbl>
    <w:bookmarkEnd w:id="21"/>
    <w:bookmarkEnd w:id="22"/>
    <w:bookmarkStart w:id="23" w:name="X302f4e823566a5e7a872b78064d693bdc1a6dce"/>
    <w:p>
      <w:pPr>
        <w:pStyle w:val="Heading1"/>
      </w:pPr>
      <w:r>
        <w:t xml:space="preserve">2. What has already been built (as of July 2026)</w:t>
      </w:r>
    </w:p>
    <w:p>
      <w:pPr>
        <w:pStyle w:val="FirstParagraph"/>
      </w:pPr>
      <w:r>
        <w:t xml:space="preserve">The prior strategy doc’s Rollout Step 1 (</w:t>
      </w:r>
      <w:r>
        <w:t xml:space="preserve">“</w:t>
      </w:r>
      <w:r>
        <w:t xml:space="preserve">foundation — nothing launches until a lead can be traced</w:t>
      </w:r>
      <w:r>
        <w:t xml:space="preserve">”</w:t>
      </w:r>
      <w:r>
        <w:t xml:space="preserve">) is largely complete. This changes what comes next.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Item</w:t>
            </w:r>
          </w:p>
        </w:tc>
        <w:tc>
          <w:tcPr/>
          <w:p>
            <w:pPr>
              <w:pStyle w:val="Compact"/>
              <w:jc w:val="left"/>
            </w:pPr>
            <w:r>
              <w:rPr>
                <w:bCs/>
                <w:b/>
              </w:rPr>
              <w:t xml:space="preserve">Status</w:t>
            </w:r>
          </w:p>
        </w:tc>
        <w:tc>
          <w:tcPr/>
          <w:p>
            <w:pPr>
              <w:pStyle w:val="Compact"/>
              <w:jc w:val="left"/>
            </w:pPr>
            <w:r>
              <w:rPr>
                <w:bCs/>
                <w:b/>
              </w:rPr>
              <w:t xml:space="preserve">Note</w:t>
            </w:r>
          </w:p>
        </w:tc>
      </w:tr>
      <w:tr>
        <w:tc>
          <w:tcPr/>
          <w:p>
            <w:pPr>
              <w:pStyle w:val="Compact"/>
              <w:jc w:val="left"/>
            </w:pPr>
            <w:r>
              <w:t xml:space="preserve">Attribution capture (web)</w:t>
            </w:r>
          </w:p>
        </w:tc>
        <w:tc>
          <w:tcPr/>
          <w:p>
            <w:pPr>
              <w:pStyle w:val="Compact"/>
              <w:jc w:val="left"/>
            </w:pPr>
            <w:r>
              <w:t xml:space="preserve">LIVE</w:t>
            </w:r>
          </w:p>
        </w:tc>
        <w:tc>
          <w:tcPr/>
          <w:p>
            <w:pPr>
              <w:pStyle w:val="Compact"/>
              <w:jc w:val="left"/>
            </w:pPr>
            <w:r>
              <w:t xml:space="preserve">UTM capture before URL strip; channel derived from utm_source against a closed ten-value list;</w:t>
            </w:r>
            <w:r>
              <w:t xml:space="preserve"> </w:t>
            </w:r>
            <w:r>
              <w:t xml:space="preserve">“</w:t>
            </w:r>
            <w:r>
              <w:t xml:space="preserve">direct</w:t>
            </w:r>
            <w:r>
              <w:t xml:space="preserve">”</w:t>
            </w:r>
            <w:r>
              <w:t xml:space="preserve"> </w:t>
            </w:r>
            <w:r>
              <w:t xml:space="preserve">fallback — never</w:t>
            </w:r>
            <w:r>
              <w:t xml:space="preserve"> </w:t>
            </w:r>
            <w:r>
              <w:t xml:space="preserve">“</w:t>
            </w:r>
            <w:r>
              <w:t xml:space="preserve">landing page.</w:t>
            </w:r>
            <w:r>
              <w:t xml:space="preserve">”</w:t>
            </w:r>
          </w:p>
        </w:tc>
      </w:tr>
      <w:tr>
        <w:tc>
          <w:tcPr/>
          <w:p>
            <w:pPr>
              <w:pStyle w:val="Compact"/>
              <w:jc w:val="left"/>
            </w:pPr>
            <w:r>
              <w:t xml:space="preserve">First-touch persistence</w:t>
            </w:r>
          </w:p>
        </w:tc>
        <w:tc>
          <w:tcPr/>
          <w:p>
            <w:pPr>
              <w:pStyle w:val="Compact"/>
              <w:jc w:val="left"/>
            </w:pPr>
            <w:r>
              <w:t xml:space="preserve">LIVE</w:t>
            </w:r>
          </w:p>
        </w:tc>
        <w:tc>
          <w:tcPr/>
          <w:p>
            <w:pPr>
              <w:pStyle w:val="Compact"/>
              <w:jc w:val="left"/>
            </w:pPr>
            <w:r>
              <w:t xml:space="preserve">Moved from sessionStorage (wiped on tab close) to a persistent ~90-day write-once store. This is what protects top-of-funnel channels.</w:t>
            </w:r>
          </w:p>
        </w:tc>
      </w:tr>
      <w:tr>
        <w:tc>
          <w:tcPr/>
          <w:p>
            <w:pPr>
              <w:pStyle w:val="Compact"/>
              <w:jc w:val="left"/>
            </w:pPr>
            <w:r>
              <w:t xml:space="preserve">Lead durability</w:t>
            </w:r>
          </w:p>
        </w:tc>
        <w:tc>
          <w:tcPr/>
          <w:p>
            <w:pPr>
              <w:pStyle w:val="Compact"/>
              <w:jc w:val="left"/>
            </w:pPr>
            <w:r>
              <w:t xml:space="preserve">LIVE</w:t>
            </w:r>
          </w:p>
        </w:tc>
        <w:tc>
          <w:tcPr/>
          <w:p>
            <w:pPr>
              <w:pStyle w:val="Compact"/>
              <w:jc w:val="left"/>
            </w:pPr>
            <w:r>
              <w:t xml:space="preserve">Every submission persists to a durable store before delivery, with a CRM-failure alert email. A lead can no longer vanish silently.</w:t>
            </w:r>
          </w:p>
        </w:tc>
      </w:tr>
      <w:tr>
        <w:tc>
          <w:tcPr/>
          <w:p>
            <w:pPr>
              <w:pStyle w:val="Compact"/>
              <w:jc w:val="left"/>
            </w:pPr>
            <w:r>
              <w:t xml:space="preserve">Consent / privacy (GPC)</w:t>
            </w:r>
          </w:p>
        </w:tc>
        <w:tc>
          <w:tcPr/>
          <w:p>
            <w:pPr>
              <w:pStyle w:val="Compact"/>
              <w:jc w:val="left"/>
            </w:pPr>
            <w:r>
              <w:t xml:space="preserve">LIVE</w:t>
            </w:r>
          </w:p>
        </w:tc>
        <w:tc>
          <w:tcPr/>
          <w:p>
            <w:pPr>
              <w:pStyle w:val="Compact"/>
              <w:jc w:val="left"/>
            </w:pPr>
            <w:r>
              <w:t xml:space="preserve">CookieYes on sell.curbio.com, US State Laws opt-out posture, Google Consent Mode v2, GPC honored. Consent log recording.</w:t>
            </w:r>
          </w:p>
        </w:tc>
      </w:tr>
      <w:tr>
        <w:tc>
          <w:tcPr/>
          <w:p>
            <w:pPr>
              <w:pStyle w:val="Compact"/>
              <w:jc w:val="left"/>
            </w:pPr>
            <w:r>
              <w:t xml:space="preserve">Conversion-tested landing page</w:t>
            </w:r>
          </w:p>
        </w:tc>
        <w:tc>
          <w:tcPr/>
          <w:p>
            <w:pPr>
              <w:pStyle w:val="Compact"/>
              <w:jc w:val="left"/>
            </w:pPr>
            <w:r>
              <w:t xml:space="preserve">LIVE</w:t>
            </w:r>
          </w:p>
        </w:tc>
        <w:tc>
          <w:tcPr/>
          <w:p>
            <w:pPr>
              <w:pStyle w:val="Compact"/>
              <w:jc w:val="left"/>
            </w:pPr>
            <w:r>
              <w:t xml:space="preserve">sell.curbio.com converting at ~10% on a deliberately frictionless form. sell.curbio.com/exp live as the eXp partner page.</w:t>
            </w:r>
          </w:p>
        </w:tc>
      </w:tr>
      <w:tr>
        <w:tc>
          <w:tcPr/>
          <w:p>
            <w:pPr>
              <w:pStyle w:val="Compact"/>
              <w:jc w:val="left"/>
            </w:pPr>
            <w:r>
              <w:t xml:space="preserve">CRM column mapping</w:t>
            </w:r>
          </w:p>
        </w:tc>
        <w:tc>
          <w:tcPr/>
          <w:p>
            <w:pPr>
              <w:pStyle w:val="Compact"/>
              <w:jc w:val="left"/>
            </w:pPr>
            <w:r>
              <w:t xml:space="preserve">IN FLIGHT</w:t>
            </w:r>
          </w:p>
        </w:tc>
        <w:tc>
          <w:tcPr/>
          <w:p>
            <w:pPr>
              <w:pStyle w:val="Compact"/>
              <w:jc w:val="left"/>
            </w:pPr>
            <w:r>
              <w:t xml:space="preserve">8 of 9 existing columns mapped. Two new columns requested from engineering: FirstTouchCampaign and UtmContent. PromoCode deliberately left free for real promo codes.</w:t>
            </w:r>
          </w:p>
        </w:tc>
      </w:tr>
      <w:tr>
        <w:tc>
          <w:tcPr/>
          <w:p>
            <w:pPr>
              <w:pStyle w:val="Compact"/>
              <w:jc w:val="left"/>
            </w:pPr>
            <w:r>
              <w:t xml:space="preserve">Website rebuild</w:t>
            </w:r>
          </w:p>
        </w:tc>
        <w:tc>
          <w:tcPr/>
          <w:p>
            <w:pPr>
              <w:pStyle w:val="Compact"/>
              <w:jc w:val="left"/>
            </w:pPr>
            <w:r>
              <w:t xml:space="preserve">IN FLIGHT</w:t>
            </w:r>
          </w:p>
        </w:tc>
        <w:tc>
          <w:tcPr/>
          <w:p>
            <w:pPr>
              <w:pStyle w:val="Compact"/>
              <w:jc w:val="left"/>
            </w:pPr>
            <w:r>
              <w:t xml:space="preserve">curbio.com moving off WordPress onto the same Next.js platform as the landing pages. Campaign pages stay on sell.curbio.com.</w:t>
            </w:r>
          </w:p>
        </w:tc>
      </w:tr>
      <w:tr>
        <w:tc>
          <w:tcPr/>
          <w:p>
            <w:pPr>
              <w:pStyle w:val="Compact"/>
              <w:jc w:val="left"/>
            </w:pPr>
            <w:r>
              <w:t xml:space="preserve">Call tracking (phone door)</w:t>
            </w:r>
          </w:p>
        </w:tc>
        <w:tc>
          <w:tcPr/>
          <w:p>
            <w:pPr>
              <w:pStyle w:val="Compact"/>
              <w:jc w:val="left"/>
            </w:pPr>
            <w:r>
              <w:t xml:space="preserve">NOT STARTED</w:t>
            </w:r>
          </w:p>
        </w:tc>
        <w:tc>
          <w:tcPr/>
          <w:p>
            <w:pPr>
              <w:pStyle w:val="Compact"/>
              <w:jc w:val="left"/>
            </w:pPr>
            <w:r>
              <w:t xml:space="preserve">Required before any offline channel (events, cookies, print, partner blasts) can be measured.</w:t>
            </w:r>
          </w:p>
        </w:tc>
      </w:tr>
      <w:tr>
        <w:tc>
          <w:tcPr/>
          <w:p>
            <w:pPr>
              <w:pStyle w:val="Compact"/>
              <w:jc w:val="left"/>
            </w:pPr>
            <w:r>
              <w:t xml:space="preserve">Reporting layer</w:t>
            </w:r>
          </w:p>
        </w:tc>
        <w:tc>
          <w:tcPr/>
          <w:p>
            <w:pPr>
              <w:pStyle w:val="Compact"/>
              <w:jc w:val="left"/>
            </w:pPr>
            <w:r>
              <w:t xml:space="preserve">BUILT (v1.1)</w:t>
            </w:r>
          </w:p>
        </w:tc>
        <w:tc>
          <w:tcPr/>
          <w:p>
            <w:pPr>
              <w:pStyle w:val="Compact"/>
              <w:jc w:val="left"/>
            </w:pPr>
            <w:r>
              <w:t xml:space="preserve">The ops dashboard joins CRM + Mailchimp into channel × market with first/last touch and attribution health. Paid-spend join still missing — the last gap, and it blocks CAC.</w:t>
            </w:r>
          </w:p>
        </w:tc>
      </w:tr>
    </w:tbl>
    <w:bookmarkEnd w:id="23"/>
    <w:bookmarkStart w:id="39" w:name="the-magnificent-seven"/>
    <w:p>
      <w:pPr>
        <w:pStyle w:val="Heading1"/>
      </w:pPr>
      <w:r>
        <w:t xml:space="preserve">3. The Magnificent Seven</w:t>
      </w:r>
    </w:p>
    <w:p>
      <w:pPr>
        <w:pStyle w:val="FirstParagraph"/>
      </w:pPr>
      <w:r>
        <w:t xml:space="preserve">The CEO’s seven channels, each with priority, the numbers to hold it to, timeline, and budget. Three of the seven carry the near-term lead number; the rest compound.</w:t>
      </w:r>
    </w:p>
    <w:bookmarkStart w:id="24" w:name="priority-stack"/>
    <w:p>
      <w:pPr>
        <w:pStyle w:val="Heading2"/>
      </w:pPr>
      <w:r>
        <w:t xml:space="preserve">Priority stack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Tier</w:t>
            </w:r>
          </w:p>
        </w:tc>
        <w:tc>
          <w:tcPr/>
          <w:p>
            <w:pPr>
              <w:pStyle w:val="Compact"/>
              <w:jc w:val="left"/>
            </w:pPr>
            <w:r>
              <w:rPr>
                <w:bCs/>
                <w:b/>
              </w:rPr>
              <w:t xml:space="preserve">Channels</w:t>
            </w:r>
          </w:p>
        </w:tc>
        <w:tc>
          <w:tcPr/>
          <w:p>
            <w:pPr>
              <w:pStyle w:val="Compact"/>
              <w:jc w:val="left"/>
            </w:pPr>
            <w:r>
              <w:rPr>
                <w:bCs/>
                <w:b/>
              </w:rPr>
              <w:t xml:space="preserve">Why</w:t>
            </w:r>
          </w:p>
        </w:tc>
        <w:tc>
          <w:tcPr/>
          <w:p>
            <w:pPr>
              <w:pStyle w:val="Compact"/>
              <w:jc w:val="left"/>
            </w:pPr>
            <w:r>
              <w:rPr>
                <w:bCs/>
                <w:b/>
              </w:rPr>
              <w:t xml:space="preserve">Owner</w:t>
            </w:r>
          </w:p>
        </w:tc>
      </w:tr>
      <w:tr>
        <w:tc>
          <w:tcPr/>
          <w:p>
            <w:pPr>
              <w:pStyle w:val="Compact"/>
              <w:jc w:val="left"/>
            </w:pPr>
            <w:r>
              <w:t xml:space="preserve">Tier 1 — carries the number</w:t>
            </w:r>
          </w:p>
        </w:tc>
        <w:tc>
          <w:tcPr/>
          <w:p>
            <w:pPr>
              <w:pStyle w:val="Compact"/>
              <w:jc w:val="left"/>
            </w:pPr>
            <w:r>
              <w:t xml:space="preserve">1. Direct Email (opt-in + cold) · 3. Super agents &amp; teams · 2. Partnerships</w:t>
            </w:r>
          </w:p>
        </w:tc>
        <w:tc>
          <w:tcPr/>
          <w:p>
            <w:pPr>
              <w:pStyle w:val="Compact"/>
              <w:jc w:val="left"/>
            </w:pPr>
            <w:r>
              <w:t xml:space="preserve">Highest volume, highest leverage, and the two motions where one win can supply a market’s entire 50.</w:t>
            </w:r>
          </w:p>
        </w:tc>
        <w:tc>
          <w:tcPr/>
          <w:p>
            <w:pPr>
              <w:pStyle w:val="Compact"/>
              <w:jc w:val="left"/>
            </w:pPr>
            <w:r>
              <w:t xml:space="preserve">Gavin / Levi / Aaron</w:t>
            </w:r>
          </w:p>
        </w:tc>
      </w:tr>
      <w:tr>
        <w:tc>
          <w:tcPr/>
          <w:p>
            <w:pPr>
              <w:pStyle w:val="Compact"/>
              <w:jc w:val="left"/>
            </w:pPr>
            <w:r>
              <w:t xml:space="preserve">Tier 2 — fast compounding</w:t>
            </w:r>
          </w:p>
        </w:tc>
        <w:tc>
          <w:tcPr/>
          <w:p>
            <w:pPr>
              <w:pStyle w:val="Compact"/>
              <w:jc w:val="left"/>
            </w:pPr>
            <w:r>
              <w:t xml:space="preserve">4. Paid · 5. Organic</w:t>
            </w:r>
          </w:p>
        </w:tc>
        <w:tc>
          <w:tcPr/>
          <w:p>
            <w:pPr>
              <w:pStyle w:val="Compact"/>
              <w:jc w:val="left"/>
            </w:pPr>
            <w:r>
              <w:t xml:space="preserve">Paid lifts conversion across every other channel. Organic is the compounding asset the website rebuild directly serves.</w:t>
            </w:r>
          </w:p>
        </w:tc>
        <w:tc>
          <w:tcPr/>
          <w:p>
            <w:pPr>
              <w:pStyle w:val="Compact"/>
              <w:jc w:val="left"/>
            </w:pPr>
            <w:r>
              <w:t xml:space="preserve">Gavin (+ agency for paid)</w:t>
            </w:r>
          </w:p>
        </w:tc>
      </w:tr>
      <w:tr>
        <w:tc>
          <w:tcPr/>
          <w:p>
            <w:pPr>
              <w:pStyle w:val="Compact"/>
              <w:jc w:val="left"/>
            </w:pPr>
            <w:r>
              <w:t xml:space="preserve">Tier 3 — build the engine</w:t>
            </w:r>
          </w:p>
        </w:tc>
        <w:tc>
          <w:tcPr/>
          <w:p>
            <w:pPr>
              <w:pStyle w:val="Compact"/>
              <w:jc w:val="left"/>
            </w:pPr>
            <w:r>
              <w:t xml:space="preserve">6. Events · 7. Content</w:t>
            </w:r>
          </w:p>
        </w:tc>
        <w:tc>
          <w:tcPr/>
          <w:p>
            <w:pPr>
              <w:pStyle w:val="Compact"/>
              <w:jc w:val="left"/>
            </w:pPr>
            <w:r>
              <w:t xml:space="preserve">Feed all six above. Events are the strongest CTA for engagement; content is the raw material every other channel spends.</w:t>
            </w:r>
          </w:p>
        </w:tc>
        <w:tc>
          <w:tcPr/>
          <w:p>
            <w:pPr>
              <w:pStyle w:val="Compact"/>
              <w:jc w:val="left"/>
            </w:pPr>
            <w:r>
              <w:t xml:space="preserve">Gavin / freelancers</w:t>
            </w:r>
          </w:p>
        </w:tc>
      </w:tr>
    </w:tbl>
    <w:bookmarkEnd w:id="24"/>
    <w:bookmarkStart w:id="29" w:name="direct-email-the-primary-engine"/>
    <w:p>
      <w:pPr>
        <w:pStyle w:val="Heading2"/>
      </w:pPr>
      <w:r>
        <w:t xml:space="preserve">1. Direct Email — the primary engine</w:t>
      </w:r>
    </w:p>
    <w:p>
      <w:pPr>
        <w:pStyle w:val="FirstParagraph"/>
      </w:pPr>
      <w:r>
        <w:t xml:space="preserve">The single largest source of reachable demand, and the one channel fully under our control. The CEO’s structural change: split opt-in from cold onto separate domains so we can be conservative with deliverability on one and aggressive on the other.</w:t>
      </w:r>
    </w:p>
    <w:bookmarkStart w:id="25" w:name="opt-in-long-term-database"/>
    <w:p>
      <w:pPr>
        <w:pStyle w:val="Heading3"/>
      </w:pPr>
      <w:r>
        <w:t xml:space="preserve">Opt-in / long-term database</w:t>
      </w:r>
    </w:p>
    <w:p>
      <w:pPr>
        <w:numPr>
          <w:ilvl w:val="0"/>
          <w:numId w:val="1001"/>
        </w:numPr>
      </w:pPr>
      <w:r>
        <w:t xml:space="preserve">Stand up a new opt-in-only domain (an existing Curbio domain, warmed carefully). Eventually all email sends from here.</w:t>
      </w:r>
    </w:p>
    <w:p>
      <w:pPr>
        <w:numPr>
          <w:ilvl w:val="0"/>
          <w:numId w:val="1001"/>
        </w:numPr>
      </w:pPr>
      <w:r>
        <w:t xml:space="preserve">Recompile the starting list from realtors who opted in this year by replying or requesting estimates. Optimize for engagement and inbox placement, not size.</w:t>
      </w:r>
    </w:p>
    <w:p>
      <w:pPr>
        <w:numPr>
          <w:ilvl w:val="0"/>
          <w:numId w:val="1001"/>
        </w:numPr>
      </w:pPr>
      <w:r>
        <w:t xml:space="preserve">Keep current market domains sending to maintain flow; migrate opt-ins off them onto the clean domain.</w:t>
      </w:r>
    </w:p>
    <w:bookmarkEnd w:id="25"/>
    <w:bookmarkStart w:id="26" w:name="cold-email"/>
    <w:p>
      <w:pPr>
        <w:pStyle w:val="Heading3"/>
      </w:pPr>
      <w:r>
        <w:t xml:space="preserve">Cold email</w:t>
      </w:r>
    </w:p>
    <w:p>
      <w:pPr>
        <w:numPr>
          <w:ilvl w:val="0"/>
          <w:numId w:val="1002"/>
        </w:numPr>
      </w:pPr>
      <w:r>
        <w:t xml:space="preserve">New, separate domains for cold. Warm, then send weekly to full target lists in every market.</w:t>
      </w:r>
    </w:p>
    <w:p>
      <w:pPr>
        <w:numPr>
          <w:ilvl w:val="0"/>
          <w:numId w:val="1002"/>
        </w:numPr>
      </w:pPr>
      <w:r>
        <w:rPr>
          <w:bCs/>
          <w:b/>
        </w:rPr>
        <w:t xml:space="preserve">List size to confirm: ~100k names (Gavin).</w:t>
      </w:r>
      <w:r>
        <w:rPr>
          <w:bCs/>
          <w:b/>
        </w:rPr>
        <w:t xml:space="preserve"> </w:t>
      </w:r>
      <w:r>
        <w:t xml:space="preserve">Feed new sources — Dr. Bill, T360, and others — into the cold domains.</w:t>
      </w:r>
    </w:p>
    <w:p>
      <w:pPr>
        <w:numPr>
          <w:ilvl w:val="0"/>
          <w:numId w:val="1002"/>
        </w:numPr>
      </w:pPr>
      <w:r>
        <w:rPr>
          <w:bCs/>
          <w:b/>
        </w:rPr>
        <w:t xml:space="preserve">Stronger CTA is the unlock.</w:t>
      </w:r>
      <w:r>
        <w:rPr>
          <w:bCs/>
          <w:b/>
        </w:rPr>
        <w:t xml:space="preserve"> </w:t>
      </w:r>
      <w:r>
        <w:t xml:space="preserve">Current cold email underperforms on click-to-RFQ. Test high-value offers that require a click to claim: a free report, a free whole-home warranty on the first project, a $25 Starbucks card on first proposal. Personalize by market and brokerage name.</w:t>
      </w:r>
    </w:p>
    <w:bookmarkEnd w:id="26"/>
    <w:bookmarkStart w:id="27" w:name="Xc6d9b97557eac5a92ac18da8c176a14c376d606"/>
    <w:p>
      <w:pPr>
        <w:pStyle w:val="Heading3"/>
      </w:pPr>
      <w:r>
        <w:t xml:space="preserve">The Personal Analysis page (test before rollout)</w:t>
      </w:r>
    </w:p>
    <w:p>
      <w:pPr>
        <w:pStyle w:val="FirstParagraph"/>
      </w:pPr>
      <w:r>
        <w:t xml:space="preserve">A real-time generated</w:t>
      </w:r>
      <w:r>
        <w:t xml:space="preserve"> </w:t>
      </w:r>
      <w:r>
        <w:t xml:space="preserve">“</w:t>
      </w:r>
      <w:r>
        <w:t xml:space="preserve">Personal Analysis for [Agent Name]</w:t>
      </w:r>
      <w:r>
        <w:t xml:space="preserve">”</w:t>
      </w:r>
      <w:r>
        <w:t xml:space="preserve"> </w:t>
      </w:r>
      <w:r>
        <w:t xml:space="preserve">landing page per click-through, showing that agent’s last-12-month transactions and the commission upside of pitching Curbio Concierge and winning 25% more listings (the Compass Concierge benchmark). Alongside: comparable homes won by Compass agents in their market, plus local Curbio projects with DOM, sale-to-list, before/after photos, spend, and amount paid at closing. Fine-print disclaimers throughout.</w:t>
      </w:r>
    </w:p>
    <w:p>
      <w:pPr>
        <w:pStyle w:val="BodyText"/>
      </w:pPr>
      <w:r>
        <w:rPr>
          <w:bCs/>
          <w:b/>
        </w:rPr>
        <w:t xml:space="preserve">Why it could work:</w:t>
      </w:r>
      <w:r>
        <w:rPr>
          <w:bCs/>
          <w:b/>
        </w:rPr>
        <w:t xml:space="preserve"> </w:t>
      </w:r>
      <w:r>
        <w:t xml:space="preserve">the CTA is about the most important person to them — themselves — and it carries built-in FOMO. Technically this is a templated dynamic route on the new platform, which is exactly what the campaign side of the rebuild is designed to spin up fast. Test on one market list before any broad rollout.</w:t>
      </w:r>
    </w:p>
    <w:bookmarkEnd w:id="27"/>
    <w:bookmarkStart w:id="28" w:name="numbers-timeline-budget"/>
    <w:p>
      <w:pPr>
        <w:pStyle w:val="Heading3"/>
      </w:pPr>
      <w:r>
        <w:t xml:space="preserve">Numbers, timeline, budget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Metric to hold</w:t>
            </w:r>
          </w:p>
        </w:tc>
        <w:tc>
          <w:tcPr/>
          <w:p>
            <w:pPr>
              <w:pStyle w:val="Compact"/>
              <w:jc w:val="left"/>
            </w:pPr>
            <w:r>
              <w:rPr>
                <w:bCs/>
                <w:b/>
              </w:rPr>
              <w:t xml:space="preserve">Target / to establish</w:t>
            </w:r>
          </w:p>
        </w:tc>
      </w:tr>
      <w:tr>
        <w:tc>
          <w:tcPr/>
          <w:p>
            <w:pPr>
              <w:pStyle w:val="Compact"/>
              <w:jc w:val="left"/>
            </w:pPr>
            <w:r>
              <w:t xml:space="preserve">Deliverability (opt-in domain)</w:t>
            </w:r>
          </w:p>
        </w:tc>
        <w:tc>
          <w:tcPr/>
          <w:p>
            <w:pPr>
              <w:pStyle w:val="Compact"/>
              <w:jc w:val="left"/>
            </w:pPr>
            <w:r>
              <w:t xml:space="preserve">Inbox placement &gt;95%; bounce &lt;2%; spam complaints &lt;0.1%</w:t>
            </w:r>
          </w:p>
        </w:tc>
      </w:tr>
      <w:tr>
        <w:tc>
          <w:tcPr/>
          <w:p>
            <w:pPr>
              <w:pStyle w:val="Compact"/>
              <w:jc w:val="left"/>
            </w:pPr>
            <w:r>
              <w:t xml:space="preserve">Cold list size</w:t>
            </w:r>
          </w:p>
        </w:tc>
        <w:tc>
          <w:tcPr/>
          <w:p>
            <w:pPr>
              <w:pStyle w:val="Compact"/>
              <w:jc w:val="left"/>
            </w:pPr>
            <w:r>
              <w:t xml:space="preserve">Confirm ~100k (Gavin) — then weekly sends to full lists across all markets</w:t>
            </w:r>
          </w:p>
        </w:tc>
      </w:tr>
      <w:tr>
        <w:tc>
          <w:tcPr/>
          <w:p>
            <w:pPr>
              <w:pStyle w:val="Compact"/>
              <w:jc w:val="left"/>
            </w:pPr>
            <w:r>
              <w:t xml:space="preserve">Click-to-RFQ</w:t>
            </w:r>
          </w:p>
        </w:tc>
        <w:tc>
          <w:tcPr/>
          <w:p>
            <w:pPr>
              <w:pStyle w:val="Compact"/>
              <w:jc w:val="left"/>
            </w:pPr>
            <w:r>
              <w:t xml:space="preserve">The known gap. Click rates are already strong; conversion is a landing-page-and-offer problem. Baseline then improve.</w:t>
            </w:r>
          </w:p>
        </w:tc>
      </w:tr>
      <w:tr>
        <w:tc>
          <w:tcPr/>
          <w:p>
            <w:pPr>
              <w:pStyle w:val="Compact"/>
              <w:jc w:val="left"/>
            </w:pPr>
            <w:r>
              <w:t xml:space="preserve">Timeline</w:t>
            </w:r>
          </w:p>
        </w:tc>
        <w:tc>
          <w:tcPr/>
          <w:p>
            <w:pPr>
              <w:pStyle w:val="Compact"/>
              <w:jc w:val="left"/>
            </w:pPr>
            <w:r>
              <w:t xml:space="preserve">Domains stood up + warming: 30 days. Full weekly cold cadence: 60 days. Personal Analysis test: 90 days.</w:t>
            </w:r>
          </w:p>
        </w:tc>
      </w:tr>
      <w:tr>
        <w:tc>
          <w:tcPr/>
          <w:p>
            <w:pPr>
              <w:pStyle w:val="Compact"/>
              <w:jc w:val="left"/>
            </w:pPr>
            <w:r>
              <w:t xml:space="preserve">Budget</w:t>
            </w:r>
          </w:p>
        </w:tc>
        <w:tc>
          <w:tcPr/>
          <w:p>
            <w:pPr>
              <w:pStyle w:val="Compact"/>
              <w:jc w:val="left"/>
            </w:pPr>
            <w:r>
              <w:t xml:space="preserve">Domains + warming tools + list acquisition — Gavin to price. Offer costs are variable (see incentive tests below).</w:t>
            </w:r>
          </w:p>
        </w:tc>
      </w:tr>
    </w:tbl>
    <w:bookmarkEnd w:id="28"/>
    <w:bookmarkEnd w:id="29"/>
    <w:bookmarkStart w:id="30" w:name="partnerships-the-multiplier"/>
    <w:p>
      <w:pPr>
        <w:pStyle w:val="Heading2"/>
      </w:pPr>
      <w:r>
        <w:t xml:space="preserve">2. Partnerships — the multiplier</w:t>
      </w:r>
    </w:p>
    <w:p>
      <w:pPr>
        <w:pStyle w:val="FirstParagraph"/>
      </w:pPr>
      <w:r>
        <w:t xml:space="preserve">One brokerage deal can seed an entire market’s 50. The competitive wedge is Compass Concierge: brokerages feel exposed without a concierge offering, and Curbio lets them have one — white-label or co-brand — without carrying capital risk.</w:t>
      </w:r>
    </w:p>
    <w:p>
      <w:pPr>
        <w:numPr>
          <w:ilvl w:val="0"/>
          <w:numId w:val="1003"/>
        </w:numPr>
      </w:pPr>
      <w:r>
        <w:rPr>
          <w:bCs/>
          <w:b/>
        </w:rPr>
        <w:t xml:space="preserve">Re-engage every existing partner.</w:t>
      </w:r>
      <w:r>
        <w:rPr>
          <w:bCs/>
          <w:b/>
        </w:rPr>
        <w:t xml:space="preserve"> </w:t>
      </w:r>
      <w:r>
        <w:t xml:space="preserve">eXp is the only currently responsive partner; their partner marketing team is rolling Curbio out to agents. Aaron to work with Matt on re-engaging signed partners (BHHS Georgia) and transferring warm ones (Re/Max Gold).</w:t>
      </w:r>
    </w:p>
    <w:p>
      <w:pPr>
        <w:numPr>
          <w:ilvl w:val="0"/>
          <w:numId w:val="1003"/>
        </w:numPr>
      </w:pPr>
      <w:r>
        <w:rPr>
          <w:bCs/>
          <w:b/>
        </w:rPr>
        <w:t xml:space="preserve">Build the full list.</w:t>
      </w:r>
      <w:r>
        <w:rPr>
          <w:bCs/>
          <w:b/>
        </w:rPr>
        <w:t xml:space="preserve"> </w:t>
      </w:r>
      <w:r>
        <w:t xml:space="preserve">Pull every brokerage marked as a partner from the app, plus every brokerage with a long working history even without a formal agreement (e.g. New Millennium in Maryland). Gavin pulls app data; Becca may hold historical brokerage agreements.</w:t>
      </w:r>
    </w:p>
    <w:p>
      <w:pPr>
        <w:numPr>
          <w:ilvl w:val="0"/>
          <w:numId w:val="1003"/>
        </w:numPr>
      </w:pPr>
      <w:r>
        <w:rPr>
          <w:bCs/>
          <w:b/>
        </w:rPr>
        <w:t xml:space="preserve">Trackable call plan.</w:t>
      </w:r>
      <w:r>
        <w:rPr>
          <w:bCs/>
          <w:b/>
        </w:rPr>
        <w:t xml:space="preserve"> </w:t>
      </w:r>
      <w:r>
        <w:t xml:space="preserve">Aaron calls the large accounts. HSMs (where professional enough) call local brokerages for in-office broker meetings plus a follow-up office presentation.</w:t>
      </w:r>
    </w:p>
    <w:p>
      <w:pPr>
        <w:numPr>
          <w:ilvl w:val="0"/>
          <w:numId w:val="1003"/>
        </w:numPr>
      </w:pPr>
      <w:r>
        <w:rPr>
          <w:bCs/>
          <w:b/>
        </w:rPr>
        <w:t xml:space="preserve">Fix the pitch.</w:t>
      </w:r>
      <w:r>
        <w:rPr>
          <w:bCs/>
          <w:b/>
        </w:rPr>
        <w:t xml:space="preserve"> </w:t>
      </w:r>
      <w:r>
        <w:t xml:space="preserve">A lot of business comes from a small number of brokerages, and many are confused about what Curbio offers today. Every HSM needs a quality Curbio Concierge pitch and the three reasons to use us.</w:t>
      </w:r>
    </w:p>
    <w:p>
      <w:pPr>
        <w:numPr>
          <w:ilvl w:val="0"/>
          <w:numId w:val="1003"/>
        </w:numPr>
      </w:pPr>
      <w:r>
        <w:rPr>
          <w:bCs/>
          <w:b/>
        </w:rPr>
        <w:t xml:space="preserve">Partner email blasts are the volume play.</w:t>
      </w:r>
      <w:r>
        <w:rPr>
          <w:bCs/>
          <w:b/>
        </w:rPr>
        <w:t xml:space="preserve"> </w:t>
      </w:r>
      <w:r>
        <w:t xml:space="preserve">Partner sends land in agent inboxes directly. With a strong CTA —</w:t>
      </w:r>
      <w:r>
        <w:t xml:space="preserve"> </w:t>
      </w:r>
      <w:r>
        <w:t xml:space="preserve">“</w:t>
      </w:r>
      <w:r>
        <w:t xml:space="preserve">pitch concierge,</w:t>
      </w:r>
      <w:r>
        <w:t xml:space="preserve">”</w:t>
      </w:r>
      <w:r>
        <w:t xml:space="preserve"> </w:t>
      </w:r>
      <w:r>
        <w:t xml:space="preserve">not</w:t>
      </w:r>
      <w:r>
        <w:t xml:space="preserve"> </w:t>
      </w:r>
      <w:r>
        <w:t xml:space="preserve">“</w:t>
      </w:r>
      <w:r>
        <w:t xml:space="preserve">get a quote</w:t>
      </w:r>
      <w:r>
        <w:t xml:space="preserve">”</w:t>
      </w:r>
      <w:r>
        <w:t xml:space="preserve"> </w:t>
      </w:r>
      <w:r>
        <w:t xml:space="preserve">— these drive real click-through and opt-ins.</w:t>
      </w:r>
    </w:p>
    <w:p>
      <w:pPr>
        <w:numPr>
          <w:ilvl w:val="0"/>
          <w:numId w:val="1003"/>
        </w:numPr>
      </w:pPr>
      <w:r>
        <w:rPr>
          <w:bCs/>
          <w:b/>
        </w:rPr>
        <w:t xml:space="preserve">Marketing fee (to confirm with Adam):</w:t>
      </w:r>
      <w:r>
        <w:rPr>
          <w:bCs/>
          <w:b/>
        </w:rPr>
        <w:t xml:space="preserve"> </w:t>
      </w:r>
      <w:r>
        <w:t xml:space="preserve">a pay-per-proposal arrangement around $100. We are not paying brokerages to recommend Curbio — we are paying them to market us to their agents. Confirm the compliance framing before offering it.</w:t>
      </w:r>
    </w:p>
    <w:p>
      <w:pPr>
        <w:pStyle w:val="FirstParagraph"/>
      </w:pPr>
      <w:r>
        <w:rPr>
          <w:bCs/>
          <w:b/>
        </w:rPr>
        <w:t xml:space="preserve">Attribution requirement:</w:t>
      </w:r>
      <w:r>
        <w:rPr>
          <w:bCs/>
          <w:b/>
        </w:rPr>
        <w:t xml:space="preserve"> </w:t>
      </w:r>
      <w:r>
        <w:t xml:space="preserve">stamp partner ID from day one on every partner-sourced lead, and give each partner blast its own campaign value. Without this, partner-driven volume disappears into</w:t>
      </w:r>
      <w:r>
        <w:t xml:space="preserve"> </w:t>
      </w:r>
      <w:r>
        <w:t xml:space="preserve">“</w:t>
      </w:r>
      <w:r>
        <w:t xml:space="preserve">direct</w:t>
      </w:r>
      <w:r>
        <w:t xml:space="preserve">”</w:t>
      </w:r>
      <w:r>
        <w:t xml:space="preserve"> </w:t>
      </w:r>
      <w:r>
        <w:t xml:space="preserve">and the highest-leverage channel looks like it produced nothing.</w:t>
      </w:r>
    </w:p>
    <w:bookmarkEnd w:id="30"/>
    <w:bookmarkStart w:id="32" w:name="Xca8bab6476442980d4e889cf0d2f8a3881c25f8"/>
    <w:p>
      <w:pPr>
        <w:pStyle w:val="Heading2"/>
      </w:pPr>
      <w:r>
        <w:t xml:space="preserve">3. Super agents, teams &amp; single-location brokerages — the enterprise motion</w:t>
      </w:r>
    </w:p>
    <w:p>
      <w:pPr>
        <w:pStyle w:val="FirstParagraph"/>
      </w:pPr>
      <w:r>
        <w:t xml:space="preserve">These are enterprise customers. One good account is worth ~$250k in annual sales. The motion is a specialized campaign requesting a meeting — HSMs close meetings, not quotes. Once in the room, the pitch is</w:t>
      </w:r>
      <w:r>
        <w:t xml:space="preserve"> </w:t>
      </w:r>
      <w:r>
        <w:t xml:space="preserve">“</w:t>
      </w:r>
      <w:r>
        <w:t xml:space="preserve">give us a try on a few listing quotes.</w:t>
      </w:r>
      <w:r>
        <w:t xml:space="preserve">”</w:t>
      </w:r>
    </w:p>
    <w:bookmarkStart w:id="31" w:name="X64901bc3d7ee269b09bcc0c0570a45c7bbd5e75"/>
    <w:p>
      <w:pPr>
        <w:pStyle w:val="Heading3"/>
      </w:pPr>
      <w:r>
        <w:t xml:space="preserve">The mechanics and the math (from the CEO memo)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Input</w:t>
            </w:r>
          </w:p>
        </w:tc>
        <w:tc>
          <w:tcPr/>
          <w:p>
            <w:pPr>
              <w:pStyle w:val="Compact"/>
              <w:jc w:val="left"/>
            </w:pPr>
            <w:r>
              <w:rPr>
                <w:bCs/>
                <w:b/>
              </w:rPr>
              <w:t xml:space="preserve">Value</w:t>
            </w:r>
          </w:p>
        </w:tc>
      </w:tr>
      <w:tr>
        <w:tc>
          <w:tcPr/>
          <w:p>
            <w:pPr>
              <w:pStyle w:val="Compact"/>
              <w:jc w:val="left"/>
            </w:pPr>
            <w:r>
              <w:t xml:space="preserve">Incentive</w:t>
            </w:r>
          </w:p>
        </w:tc>
        <w:tc>
          <w:tcPr/>
          <w:p>
            <w:pPr>
              <w:pStyle w:val="Compact"/>
              <w:jc w:val="left"/>
            </w:pPr>
            <w:r>
              <w:t xml:space="preserve">$15 Starbucks card —</w:t>
            </w:r>
            <w:r>
              <w:t xml:space="preserve"> </w:t>
            </w:r>
            <w:r>
              <w:t xml:space="preserve">“</w:t>
            </w:r>
            <w:r>
              <w:t xml:space="preserve">Let’s talk about getting homes ready to list over coffee</w:t>
            </w:r>
            <w:r>
              <w:t xml:space="preserve">”</w:t>
            </w:r>
          </w:p>
        </w:tc>
      </w:tr>
      <w:tr>
        <w:tc>
          <w:tcPr/>
          <w:p>
            <w:pPr>
              <w:pStyle w:val="Compact"/>
              <w:jc w:val="left"/>
            </w:pPr>
            <w:r>
              <w:t xml:space="preserve">Volume</w:t>
            </w:r>
          </w:p>
        </w:tc>
        <w:tc>
          <w:tcPr/>
          <w:p>
            <w:pPr>
              <w:pStyle w:val="Compact"/>
              <w:jc w:val="left"/>
            </w:pPr>
            <w:r>
              <w:t xml:space="preserve">10 mailings per week per HSM</w:t>
            </w:r>
          </w:p>
        </w:tc>
      </w:tr>
      <w:tr>
        <w:tc>
          <w:tcPr/>
          <w:p>
            <w:pPr>
              <w:pStyle w:val="Compact"/>
              <w:jc w:val="left"/>
            </w:pPr>
            <w:r>
              <w:t xml:space="preserve">Follow-up</w:t>
            </w:r>
          </w:p>
        </w:tc>
        <w:tc>
          <w:tcPr/>
          <w:p>
            <w:pPr>
              <w:pStyle w:val="Compact"/>
              <w:jc w:val="left"/>
            </w:pPr>
            <w:r>
              <w:t xml:space="preserve">10 calls per week per HSM → 1 meeting per week</w:t>
            </w:r>
          </w:p>
        </w:tc>
      </w:tr>
      <w:tr>
        <w:tc>
          <w:tcPr/>
          <w:p>
            <w:pPr>
              <w:pStyle w:val="Compact"/>
              <w:jc w:val="left"/>
            </w:pPr>
            <w:r>
              <w:t xml:space="preserve">Implied cost</w:t>
            </w:r>
          </w:p>
        </w:tc>
        <w:tc>
          <w:tcPr/>
          <w:p>
            <w:pPr>
              <w:pStyle w:val="Compact"/>
              <w:jc w:val="left"/>
            </w:pPr>
            <w:r>
              <w:t xml:space="preserve">At a 10% close on the mailing, ~$150 per meeting</w:t>
            </w:r>
          </w:p>
        </w:tc>
      </w:tr>
      <w:tr>
        <w:tc>
          <w:tcPr/>
          <w:p>
            <w:pPr>
              <w:pStyle w:val="Compact"/>
              <w:jc w:val="left"/>
            </w:pPr>
            <w:r>
              <w:t xml:space="preserve">Value of a win</w:t>
            </w:r>
          </w:p>
        </w:tc>
        <w:tc>
          <w:tcPr/>
          <w:p>
            <w:pPr>
              <w:pStyle w:val="Compact"/>
              <w:jc w:val="left"/>
            </w:pPr>
            <w:r>
              <w:t xml:space="preserve">~$250k annual sales per good account</w:t>
            </w:r>
          </w:p>
        </w:tc>
      </w:tr>
      <w:tr>
        <w:tc>
          <w:tcPr/>
          <w:p>
            <w:pPr>
              <w:pStyle w:val="Compact"/>
              <w:jc w:val="left"/>
            </w:pPr>
            <w:r>
              <w:t xml:space="preserve">Required test</w:t>
            </w:r>
          </w:p>
        </w:tc>
        <w:tc>
          <w:tcPr/>
          <w:p>
            <w:pPr>
              <w:pStyle w:val="Compact"/>
              <w:jc w:val="left"/>
            </w:pPr>
            <w:r>
              <w:t xml:space="preserve">Plain email with no incentive vs. Starbucks, measured on cost-per-meeting</w:t>
            </w:r>
          </w:p>
        </w:tc>
      </w:tr>
    </w:tbl>
    <w:p>
      <w:pPr>
        <w:pStyle w:val="BodyText"/>
      </w:pPr>
      <w:r>
        <w:rPr>
          <w:bCs/>
          <w:b/>
        </w:rPr>
        <w:t xml:space="preserve">Operational dependency:</w:t>
      </w:r>
      <w:r>
        <w:rPr>
          <w:bCs/>
          <w:b/>
        </w:rPr>
        <w:t xml:space="preserve"> </w:t>
      </w:r>
      <w:r>
        <w:t xml:space="preserve">mailings and follow-up call lists must be coordinated and tracked — Gavin owns this. This is the one motion in the seven that could plausibly double sales within a few months, and it fails entirely if the mail-then-call loop isn’t tight.</w:t>
      </w:r>
    </w:p>
    <w:bookmarkEnd w:id="31"/>
    <w:bookmarkEnd w:id="32"/>
    <w:bookmarkStart w:id="33" w:name="paid-search-social-influencer"/>
    <w:p>
      <w:pPr>
        <w:pStyle w:val="Heading2"/>
      </w:pPr>
      <w:r>
        <w:t xml:space="preserve">4. Paid — search, social, influencer</w:t>
      </w:r>
    </w:p>
    <w:p>
      <w:pPr>
        <w:numPr>
          <w:ilvl w:val="0"/>
          <w:numId w:val="1004"/>
        </w:numPr>
      </w:pPr>
      <w:r>
        <w:rPr>
          <w:bCs/>
          <w:b/>
        </w:rPr>
        <w:t xml:space="preserve">Outsource paid search and social.</w:t>
      </w:r>
      <w:r>
        <w:rPr>
          <w:bCs/>
          <w:b/>
        </w:rPr>
        <w:t xml:space="preserve"> </w:t>
      </w:r>
      <w:r>
        <w:t xml:space="preserve">A couple thousand a month to start, run by an agency rather than in-house. Paid is cheapest at low volumes and lifts conversion across every other channel — which is the real argument for it.</w:t>
      </w:r>
    </w:p>
    <w:p>
      <w:pPr>
        <w:numPr>
          <w:ilvl w:val="0"/>
          <w:numId w:val="1004"/>
        </w:numPr>
      </w:pPr>
      <w:r>
        <w:rPr>
          <w:bCs/>
          <w:b/>
        </w:rPr>
        <w:t xml:space="preserve">Keep influencer in-house.</w:t>
      </w:r>
      <w:r>
        <w:rPr>
          <w:bCs/>
          <w:b/>
        </w:rPr>
        <w:t xml:space="preserve"> </w:t>
      </w:r>
      <w:r>
        <w:t xml:space="preserve">Structure it as pay-per-qualified-lead (~$50+ per valid in-market SQL), not per post and not per raw form-fill. That puts the risk on the creator and keeps the channel close to CAC-safe by design.</w:t>
      </w:r>
    </w:p>
    <w:p>
      <w:pPr>
        <w:pStyle w:val="FirstParagraph"/>
      </w:pPr>
      <w:r>
        <w:t xml:space="preserve">Three things must be locked before any creator dollar goes out: a written definition of a payable lead (valid, in-market SQL — excluding duplicates, out-of-market, bad contact, inspection-only); airtight per-creator tracking with a dashboard they trust; and a compliance guardrail listing approved and prohibited claims. Given the DC AG history, an unmonitored creator promising</w:t>
      </w:r>
      <w:r>
        <w:t xml:space="preserve"> </w:t>
      </w:r>
      <w:r>
        <w:t xml:space="preserve">“</w:t>
      </w:r>
      <w:r>
        <w:t xml:space="preserve">sell for $50k more</w:t>
      </w:r>
      <w:r>
        <w:t xml:space="preserve">”</w:t>
      </w:r>
      <w:r>
        <w:t xml:space="preserve"> </w:t>
      </w:r>
      <w:r>
        <w:t xml:space="preserve">is a liability multiplier, not a cosmetic risk.</w:t>
      </w:r>
    </w:p>
    <w:p>
      <w:pPr>
        <w:pStyle w:val="BodyText"/>
      </w:pPr>
      <w:r>
        <w:rPr>
          <w:bCs/>
          <w:b/>
        </w:rPr>
        <w:t xml:space="preserve">Timeline note:</w:t>
      </w:r>
      <w:r>
        <w:t xml:space="preserve">** **paid search/social can start as soon as an agency is selected. Creator/affiliate launches only after tracking and the guardrail exist — launching pay-per-lead before attribution is bulletproof loses money and creator trust at the same time.</w:t>
      </w:r>
    </w:p>
    <w:bookmarkEnd w:id="33"/>
    <w:bookmarkStart w:id="34" w:name="organic"/>
    <w:p>
      <w:pPr>
        <w:pStyle w:val="Heading2"/>
      </w:pPr>
      <w:r>
        <w:t xml:space="preserve">5. Organic</w:t>
      </w:r>
    </w:p>
    <w:p>
      <w:pPr>
        <w:pStyle w:val="FirstParagraph"/>
      </w:pPr>
      <w:r>
        <w:t xml:space="preserve">Improving the website, landing pages, content, and customer reviews accelerates organic growth. This is the channel the current website rebuild directly serves.</w:t>
      </w:r>
    </w:p>
    <w:p>
      <w:pPr>
        <w:numPr>
          <w:ilvl w:val="0"/>
          <w:numId w:val="1005"/>
        </w:numPr>
      </w:pPr>
      <w:r>
        <w:t xml:space="preserve">Website replatform: curbio.com moves off WordPress onto one Next.js platform, with campaign pages on sell.curbio.com. Preserves SEO through a clean redirect layer.</w:t>
      </w:r>
    </w:p>
    <w:p>
      <w:pPr>
        <w:numPr>
          <w:ilvl w:val="0"/>
          <w:numId w:val="1005"/>
        </w:numPr>
      </w:pPr>
      <w:r>
        <w:t xml:space="preserve">Local SEO per market; seller-intent content written carefully to avoid quantified-claim risk.</w:t>
      </w:r>
    </w:p>
    <w:p>
      <w:pPr>
        <w:numPr>
          <w:ilvl w:val="0"/>
          <w:numId w:val="1005"/>
        </w:numPr>
      </w:pPr>
      <w:r>
        <w:t xml:space="preserve">Customer reviews as an explicit program, not an afterthought — they feed both organic and conversion.</w:t>
      </w:r>
    </w:p>
    <w:p>
      <w:pPr>
        <w:numPr>
          <w:ilvl w:val="0"/>
          <w:numId w:val="1005"/>
        </w:numPr>
      </w:pPr>
      <w:r>
        <w:t xml:space="preserve">Before/after transformations are the single strongest visual asset we own. Produce once, deploy across organic, paid, partner kits, and field leave-behinds.</w:t>
      </w:r>
    </w:p>
    <w:bookmarkEnd w:id="34"/>
    <w:bookmarkStart w:id="37" w:name="events"/>
    <w:p>
      <w:pPr>
        <w:pStyle w:val="Heading2"/>
      </w:pPr>
      <w:r>
        <w:t xml:space="preserve">6. Events</w:t>
      </w:r>
    </w:p>
    <w:bookmarkStart w:id="35" w:name="webinars"/>
    <w:p>
      <w:pPr>
        <w:pStyle w:val="Heading3"/>
      </w:pPr>
      <w:r>
        <w:t xml:space="preserve">Webinars</w:t>
      </w:r>
    </w:p>
    <w:p>
      <w:pPr>
        <w:numPr>
          <w:ilvl w:val="0"/>
          <w:numId w:val="1006"/>
        </w:numPr>
      </w:pPr>
      <w:r>
        <w:t xml:space="preserve">Effective, email-marketable, and a strong CTA for engagement. If the messaging works, thousands of agents can attend across markets over months.</w:t>
      </w:r>
    </w:p>
    <w:p>
      <w:pPr>
        <w:numPr>
          <w:ilvl w:val="0"/>
          <w:numId w:val="1006"/>
        </w:numPr>
      </w:pPr>
      <w:r>
        <w:t xml:space="preserve">Decide content and presenters, then test. Webinar registration is also a clean opt-in source for the new opt-in domain.</w:t>
      </w:r>
    </w:p>
    <w:bookmarkEnd w:id="35"/>
    <w:bookmarkStart w:id="36" w:name="local-events"/>
    <w:p>
      <w:pPr>
        <w:pStyle w:val="Heading3"/>
      </w:pPr>
      <w:r>
        <w:t xml:space="preserve">Local events</w:t>
      </w:r>
    </w:p>
    <w:p>
      <w:pPr>
        <w:numPr>
          <w:ilvl w:val="0"/>
          <w:numId w:val="1007"/>
        </w:numPr>
      </w:pPr>
      <w:r>
        <w:t xml:space="preserve">Look for inexpensive slots — state realtor association meetings and similar.</w:t>
      </w:r>
    </w:p>
    <w:p>
      <w:pPr>
        <w:numPr>
          <w:ilvl w:val="0"/>
          <w:numId w:val="1007"/>
        </w:numPr>
      </w:pPr>
      <w:r>
        <w:t xml:space="preserve">Test a happy-hour open house and a breakfast open house per HSM; different agents respond to different time slots.</w:t>
      </w:r>
    </w:p>
    <w:p>
      <w:pPr>
        <w:numPr>
          <w:ilvl w:val="0"/>
          <w:numId w:val="1007"/>
        </w:numPr>
      </w:pPr>
      <w:r>
        <w:rPr>
          <w:bCs/>
          <w:b/>
        </w:rPr>
        <w:t xml:space="preserve">Keep costs at roughly $25 per person</w:t>
      </w:r>
      <w:r>
        <w:rPr>
          <w:bCs/>
          <w:b/>
        </w:rPr>
        <w:t xml:space="preserve"> </w:t>
      </w:r>
      <w:r>
        <w:t xml:space="preserve">— continental breakfast, or a drink and nibbles. Target only the top 15% of agents for our own events.</w:t>
      </w:r>
    </w:p>
    <w:p>
      <w:pPr>
        <w:numPr>
          <w:ilvl w:val="0"/>
          <w:numId w:val="1007"/>
        </w:numPr>
      </w:pPr>
      <w:r>
        <w:t xml:space="preserve">Format: HSM does a 15-minute presentation / Q&amp;A on the half hour. Expect a few dozen agents per event with the right messaging.</w:t>
      </w:r>
    </w:p>
    <w:p>
      <w:pPr>
        <w:pStyle w:val="FirstParagraph"/>
      </w:pPr>
      <w:r>
        <w:rPr>
          <w:bCs/>
          <w:b/>
        </w:rPr>
        <w:t xml:space="preserve">Attribution requirement:</w:t>
      </w:r>
      <w:r>
        <w:rPr>
          <w:bCs/>
          <w:b/>
        </w:rPr>
        <w:t xml:space="preserve"> </w:t>
      </w:r>
      <w:r>
        <w:t xml:space="preserve">events are an offline channel. Without call tracking and event-specific campaign codes, every lead they produce lands as</w:t>
      </w:r>
      <w:r>
        <w:t xml:space="preserve"> </w:t>
      </w:r>
      <w:r>
        <w:t xml:space="preserve">“</w:t>
      </w:r>
      <w:r>
        <w:t xml:space="preserve">direct</w:t>
      </w:r>
      <w:r>
        <w:t xml:space="preserve">”</w:t>
      </w:r>
      <w:r>
        <w:t xml:space="preserve"> </w:t>
      </w:r>
      <w:r>
        <w:t xml:space="preserve">and the channel looks worthless.</w:t>
      </w:r>
    </w:p>
    <w:bookmarkEnd w:id="36"/>
    <w:bookmarkEnd w:id="37"/>
    <w:bookmarkStart w:id="38" w:name="content"/>
    <w:p>
      <w:pPr>
        <w:pStyle w:val="Heading2"/>
      </w:pPr>
      <w:r>
        <w:t xml:space="preserve">7. Content</w:t>
      </w:r>
    </w:p>
    <w:p>
      <w:pPr>
        <w:numPr>
          <w:ilvl w:val="0"/>
          <w:numId w:val="1008"/>
        </w:numPr>
      </w:pPr>
      <w:r>
        <w:rPr>
          <w:bCs/>
          <w:b/>
        </w:rPr>
        <w:t xml:space="preserve">Write up the messaging platform first.</w:t>
      </w:r>
      <w:r>
        <w:rPr>
          <w:bCs/>
          <w:b/>
        </w:rPr>
        <w:t xml:space="preserve"> </w:t>
      </w:r>
      <w:r>
        <w:t xml:space="preserve">Formally outline the USP so everyone is on the same page before producing anything. We are reclaiming the three proven value propositions — pay-at-closing, sell faster and for more, and the concierge solution for realtors — while avoiding the specific unfounded claims that caused regulatory trouble.</w:t>
      </w:r>
    </w:p>
    <w:p>
      <w:pPr>
        <w:numPr>
          <w:ilvl w:val="0"/>
          <w:numId w:val="1008"/>
        </w:numPr>
      </w:pPr>
      <w:r>
        <w:t xml:space="preserve">Then decide subject and form: long-form, social, video, win/loss stories.</w:t>
      </w:r>
    </w:p>
    <w:p>
      <w:pPr>
        <w:numPr>
          <w:ilvl w:val="0"/>
          <w:numId w:val="1008"/>
        </w:numPr>
      </w:pPr>
      <w:r>
        <w:t xml:space="preserve">Most content can be produced inexpensively by freelancers once the messaging platform exists.</w:t>
      </w:r>
    </w:p>
    <w:p>
      <w:pPr>
        <w:numPr>
          <w:ilvl w:val="0"/>
          <w:numId w:val="1008"/>
        </w:numPr>
      </w:pPr>
      <w:r>
        <w:rPr>
          <w:bCs/>
          <w:b/>
        </w:rPr>
        <w:t xml:space="preserve">Monthly newsletter</w:t>
      </w:r>
      <w:r>
        <w:rPr>
          <w:bCs/>
          <w:b/>
        </w:rPr>
        <w:t xml:space="preserve"> </w:t>
      </w:r>
      <w:r>
        <w:t xml:space="preserve">combining Curbio content with industry data agents care about — mortgage rates, home sales, market data.</w:t>
      </w:r>
    </w:p>
    <w:p>
      <w:pPr>
        <w:numPr>
          <w:ilvl w:val="0"/>
          <w:numId w:val="1008"/>
        </w:numPr>
      </w:pPr>
      <w:r>
        <w:rPr>
          <w:bCs/>
          <w:b/>
        </w:rPr>
        <w:t xml:space="preserve">The lead magnet opportunity:</w:t>
      </w:r>
      <w:r>
        <w:rPr>
          <w:bCs/>
          <w:b/>
        </w:rPr>
        <w:t xml:space="preserve"> </w:t>
      </w:r>
      <w:r>
        <w:t xml:space="preserve">most agents don’t understand economic data as it relates to their business. Simple, actionable analyses and infographics are a strong magnet and feed the newsletter, email, social, and the Personal Analysis concept simultaneously.</w:t>
      </w:r>
    </w:p>
    <w:bookmarkEnd w:id="38"/>
    <w:bookmarkEnd w:id="39"/>
    <w:bookmarkStart w:id="47" w:name="attribution-the-current-accurate-model"/>
    <w:p>
      <w:pPr>
        <w:pStyle w:val="Heading1"/>
      </w:pPr>
      <w:r>
        <w:t xml:space="preserve">4. Attribution — the current, accurate model</w:t>
      </w:r>
    </w:p>
    <w:p>
      <w:pPr>
        <w:pStyle w:val="FirstParagraph"/>
      </w:pPr>
      <w:r>
        <w:t xml:space="preserve">This section replaces the attribution sections in both prior documents. It reflects what is actually built and what has actually been requested from engineering.</w:t>
      </w:r>
    </w:p>
    <w:bookmarkStart w:id="40" w:name="the-principle"/>
    <w:p>
      <w:pPr>
        <w:pStyle w:val="Heading2"/>
      </w:pPr>
      <w:r>
        <w:t xml:space="preserve">The principle</w:t>
      </w:r>
    </w:p>
    <w:p>
      <w:pPr>
        <w:pStyle w:val="FirstParagraph"/>
      </w:pPr>
      <w:r>
        <w:t xml:space="preserve">Every lead — email click, paid ad, creator link, QR code, inbound call, or a rep entering it by hand — answers the same questions: what channel drove it, what campaign specifically, what format delivered it, what door it entered through, and what originated it if different from what converted it.</w:t>
      </w:r>
    </w:p>
    <w:p>
      <w:pPr>
        <w:pStyle w:val="BodyText"/>
      </w:pPr>
      <w:r>
        <w:rPr>
          <w:bCs/>
          <w:b/>
        </w:rPr>
        <w:t xml:space="preserve">Core rule:</w:t>
      </w:r>
      <w:r>
        <w:rPr>
          <w:bCs/>
          <w:b/>
        </w:rPr>
        <w:t xml:space="preserve"> </w:t>
      </w:r>
      <w:r>
        <w:t xml:space="preserve">the field holding</w:t>
      </w:r>
      <w:r>
        <w:t xml:space="preserve"> </w:t>
      </w:r>
      <w:r>
        <w:t xml:space="preserve">“</w:t>
      </w:r>
      <w:r>
        <w:t xml:space="preserve">channel</w:t>
      </w:r>
      <w:r>
        <w:t xml:space="preserve">”</w:t>
      </w:r>
      <w:r>
        <w:t xml:space="preserve"> </w:t>
      </w:r>
      <w:r>
        <w:t xml:space="preserve">must always contain a real funded motion, or an honest</w:t>
      </w:r>
      <w:r>
        <w:t xml:space="preserve"> </w:t>
      </w:r>
      <w:r>
        <w:t xml:space="preserve">“</w:t>
      </w:r>
      <w:r>
        <w:t xml:space="preserve">direct.</w:t>
      </w:r>
      <w:r>
        <w:t xml:space="preserve">”</w:t>
      </w:r>
      <w:r>
        <w:t xml:space="preserve"> </w:t>
      </w:r>
      <w:r>
        <w:t xml:space="preserve">It must never contain the landing page, the entry method, or the format. Those are separate fields. The old system’s single overloaded source field — hardcoding values like</w:t>
      </w:r>
      <w:r>
        <w:t xml:space="preserve"> </w:t>
      </w:r>
      <w:r>
        <w:t xml:space="preserve">“</w:t>
      </w:r>
      <w:r>
        <w:t xml:space="preserve">landing page</w:t>
      </w:r>
      <w:r>
        <w:t xml:space="preserve">”</w:t>
      </w:r>
      <w:r>
        <w:t xml:space="preserve"> </w:t>
      </w:r>
      <w:r>
        <w:t xml:space="preserve">and</w:t>
      </w:r>
      <w:r>
        <w:t xml:space="preserve"> </w:t>
      </w:r>
      <w:r>
        <w:t xml:space="preserve">“</w:t>
      </w:r>
      <w:r>
        <w:t xml:space="preserve">WWW.CURBIO.COM</w:t>
      </w:r>
      <w:r>
        <w:t xml:space="preserve">”</w:t>
      </w:r>
      <w:r>
        <w:t xml:space="preserve"> </w:t>
      </w:r>
      <w:r>
        <w:t xml:space="preserve">— recorded where a lead landed, not what marketing caused it.</w:t>
      </w:r>
    </w:p>
    <w:bookmarkEnd w:id="40"/>
    <w:bookmarkStart w:id="41" w:name="Xb02f88d3610b581d6cfe3678fa0e9bc60764e53"/>
    <w:p>
      <w:pPr>
        <w:pStyle w:val="Heading2"/>
      </w:pPr>
      <w:r>
        <w:t xml:space="preserve">The CRM field model (as mapped to real columns)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Concept</w:t>
            </w:r>
          </w:p>
        </w:tc>
        <w:tc>
          <w:tcPr/>
          <w:p>
            <w:pPr>
              <w:pStyle w:val="Compact"/>
              <w:jc w:val="left"/>
            </w:pPr>
            <w:r>
              <w:rPr>
                <w:bCs/>
                <w:b/>
              </w:rPr>
              <w:t xml:space="preserve">CRM column</w:t>
            </w:r>
          </w:p>
        </w:tc>
        <w:tc>
          <w:tcPr/>
          <w:p>
            <w:pPr>
              <w:pStyle w:val="Compact"/>
              <w:jc w:val="left"/>
            </w:pPr>
            <w:r>
              <w:rPr>
                <w:bCs/>
                <w:b/>
              </w:rPr>
              <w:t xml:space="preserve">Status / values</w:t>
            </w:r>
          </w:p>
        </w:tc>
      </w:tr>
      <w:tr>
        <w:tc>
          <w:tcPr/>
          <w:p>
            <w:pPr>
              <w:pStyle w:val="Compact"/>
              <w:jc w:val="left"/>
            </w:pPr>
            <w:r>
              <w:t xml:space="preserve">Channel (last-touch)</w:t>
            </w:r>
          </w:p>
        </w:tc>
        <w:tc>
          <w:tcPr/>
          <w:p>
            <w:pPr>
              <w:pStyle w:val="Compact"/>
              <w:jc w:val="left"/>
            </w:pPr>
            <w:r>
              <w:t xml:space="preserve">Channel</w:t>
            </w:r>
          </w:p>
        </w:tc>
        <w:tc>
          <w:tcPr/>
          <w:p>
            <w:pPr>
              <w:pStyle w:val="Compact"/>
              <w:jc w:val="left"/>
            </w:pPr>
            <w:r>
              <w:t xml:space="preserve">Existing, now populated. Closed list: email, paid_search, paid_social, creator, hsm_field, partnership, organic, referral, direct. Derived from utm_source;</w:t>
            </w:r>
            <w:r>
              <w:t xml:space="preserve"> </w:t>
            </w:r>
            <w:r>
              <w:t xml:space="preserve">“</w:t>
            </w:r>
            <w:r>
              <w:t xml:space="preserve">direct</w:t>
            </w:r>
            <w:r>
              <w:t xml:space="preserve">”</w:t>
            </w:r>
            <w:r>
              <w:t xml:space="preserve"> </w:t>
            </w:r>
            <w:r>
              <w:t xml:space="preserve">when absent.</w:t>
            </w:r>
          </w:p>
        </w:tc>
      </w:tr>
      <w:tr>
        <w:tc>
          <w:tcPr/>
          <w:p>
            <w:pPr>
              <w:pStyle w:val="Compact"/>
              <w:jc w:val="left"/>
            </w:pPr>
            <w:r>
              <w:t xml:space="preserve">Entry point</w:t>
            </w:r>
          </w:p>
        </w:tc>
        <w:tc>
          <w:tcPr/>
          <w:p>
            <w:pPr>
              <w:pStyle w:val="Compact"/>
              <w:jc w:val="left"/>
            </w:pPr>
            <w:r>
              <w:t xml:space="preserve">Origin</w:t>
            </w:r>
          </w:p>
        </w:tc>
        <w:tc>
          <w:tcPr/>
          <w:p>
            <w:pPr>
              <w:pStyle w:val="Compact"/>
              <w:jc w:val="left"/>
            </w:pPr>
            <w:r>
              <w:t xml:space="preserve">Existing column, repurposed. web_form, phone, manual, inbound_email. Set by whichever system creates the lead.</w:t>
            </w:r>
          </w:p>
        </w:tc>
      </w:tr>
      <w:tr>
        <w:tc>
          <w:tcPr/>
          <w:p>
            <w:pPr>
              <w:pStyle w:val="Compact"/>
              <w:jc w:val="left"/>
            </w:pPr>
            <w:r>
              <w:t xml:space="preserve">First-touch channel</w:t>
            </w:r>
          </w:p>
        </w:tc>
        <w:tc>
          <w:tcPr/>
          <w:p>
            <w:pPr>
              <w:pStyle w:val="Compact"/>
              <w:jc w:val="left"/>
            </w:pPr>
            <w:r>
              <w:t xml:space="preserve">LeadSource</w:t>
            </w:r>
          </w:p>
        </w:tc>
        <w:tc>
          <w:tcPr/>
          <w:p>
            <w:pPr>
              <w:pStyle w:val="Compact"/>
              <w:jc w:val="left"/>
            </w:pPr>
            <w:r>
              <w:t xml:space="preserve">Existing column, repurposed. Same value set as Channel. Write-once, from the persistent first-touch store.</w:t>
            </w:r>
          </w:p>
        </w:tc>
      </w:tr>
      <w:tr>
        <w:tc>
          <w:tcPr/>
          <w:p>
            <w:pPr>
              <w:pStyle w:val="Compact"/>
              <w:jc w:val="left"/>
            </w:pPr>
            <w:r>
              <w:t xml:space="preserve">First-touch campaign</w:t>
            </w:r>
          </w:p>
        </w:tc>
        <w:tc>
          <w:tcPr/>
          <w:p>
            <w:pPr>
              <w:pStyle w:val="Compact"/>
              <w:jc w:val="left"/>
            </w:pPr>
            <w:r>
              <w:t xml:space="preserve">FirstTouchCampaign</w:t>
            </w:r>
          </w:p>
        </w:tc>
        <w:tc>
          <w:tcPr/>
          <w:p>
            <w:pPr>
              <w:pStyle w:val="Compact"/>
              <w:jc w:val="left"/>
            </w:pPr>
            <w:r>
              <w:t xml:space="preserve">NEW — requested. Previously planned for PromoCode; changed to protect PromoCode for real promotions.</w:t>
            </w:r>
          </w:p>
        </w:tc>
      </w:tr>
      <w:tr>
        <w:tc>
          <w:tcPr/>
          <w:p>
            <w:pPr>
              <w:pStyle w:val="Compact"/>
              <w:jc w:val="left"/>
            </w:pPr>
            <w:r>
              <w:t xml:space="preserve">Campaign</w:t>
            </w:r>
          </w:p>
        </w:tc>
        <w:tc>
          <w:tcPr/>
          <w:p>
            <w:pPr>
              <w:pStyle w:val="Compact"/>
              <w:jc w:val="left"/>
            </w:pPr>
            <w:r>
              <w:t xml:space="preserve">UtmCampaign</w:t>
            </w:r>
          </w:p>
        </w:tc>
        <w:tc>
          <w:tcPr/>
          <w:p>
            <w:pPr>
              <w:pStyle w:val="Compact"/>
              <w:jc w:val="left"/>
            </w:pPr>
            <w:r>
              <w:t xml:space="preserve">Existing. Naming convention enforced (below).</w:t>
            </w:r>
          </w:p>
        </w:tc>
      </w:tr>
      <w:tr>
        <w:tc>
          <w:tcPr/>
          <w:p>
            <w:pPr>
              <w:pStyle w:val="Compact"/>
              <w:jc w:val="left"/>
            </w:pPr>
            <w:r>
              <w:t xml:space="preserve">Medium</w:t>
            </w:r>
          </w:p>
        </w:tc>
        <w:tc>
          <w:tcPr/>
          <w:p>
            <w:pPr>
              <w:pStyle w:val="Compact"/>
              <w:jc w:val="left"/>
            </w:pPr>
            <w:r>
              <w:t xml:space="preserve">UtmMedium</w:t>
            </w:r>
          </w:p>
        </w:tc>
        <w:tc>
          <w:tcPr/>
          <w:p>
            <w:pPr>
              <w:pStyle w:val="Compact"/>
              <w:jc w:val="left"/>
            </w:pPr>
            <w:r>
              <w:t xml:space="preserve">Existing. Constrained to e / cpc / social / print / qr.</w:t>
            </w:r>
          </w:p>
        </w:tc>
      </w:tr>
      <w:tr>
        <w:tc>
          <w:tcPr/>
          <w:p>
            <w:pPr>
              <w:pStyle w:val="Compact"/>
              <w:jc w:val="left"/>
            </w:pPr>
            <w:r>
              <w:t xml:space="preserve">Creative / variant</w:t>
            </w:r>
          </w:p>
        </w:tc>
        <w:tc>
          <w:tcPr/>
          <w:p>
            <w:pPr>
              <w:pStyle w:val="Compact"/>
              <w:jc w:val="left"/>
            </w:pPr>
            <w:r>
              <w:t xml:space="preserve">UtmContent</w:t>
            </w:r>
          </w:p>
        </w:tc>
        <w:tc>
          <w:tcPr/>
          <w:p>
            <w:pPr>
              <w:pStyle w:val="Compact"/>
              <w:jc w:val="left"/>
            </w:pPr>
            <w:r>
              <w:t xml:space="preserve">NEW — requested. Carries A/B and creative variant detail. Captured today but not previously sent to the CRM.</w:t>
            </w:r>
          </w:p>
        </w:tc>
      </w:tr>
      <w:tr>
        <w:tc>
          <w:tcPr/>
          <w:p>
            <w:pPr>
              <w:pStyle w:val="Compact"/>
              <w:jc w:val="left"/>
            </w:pPr>
            <w:r>
              <w:t xml:space="preserve">Partner / referral</w:t>
            </w:r>
          </w:p>
        </w:tc>
        <w:tc>
          <w:tcPr/>
          <w:p>
            <w:pPr>
              <w:pStyle w:val="Compact"/>
              <w:jc w:val="left"/>
            </w:pPr>
            <w:r>
              <w:t xml:space="preserve">ReferralSourceId</w:t>
            </w:r>
          </w:p>
        </w:tc>
        <w:tc>
          <w:tcPr/>
          <w:p>
            <w:pPr>
              <w:pStyle w:val="Compact"/>
              <w:jc w:val="left"/>
            </w:pPr>
            <w:r>
              <w:t xml:space="preserve">Existing and already surfaced in the app. Powers partner pages (e.g. eXp).</w:t>
            </w:r>
          </w:p>
        </w:tc>
      </w:tr>
      <w:tr>
        <w:tc>
          <w:tcPr/>
          <w:p>
            <w:pPr>
              <w:pStyle w:val="Compact"/>
              <w:jc w:val="left"/>
            </w:pPr>
            <w:r>
              <w:t xml:space="preserve">Raw source</w:t>
            </w:r>
          </w:p>
        </w:tc>
        <w:tc>
          <w:tcPr/>
          <w:p>
            <w:pPr>
              <w:pStyle w:val="Compact"/>
              <w:jc w:val="left"/>
            </w:pPr>
            <w:r>
              <w:t xml:space="preserve">UtmSource</w:t>
            </w:r>
          </w:p>
        </w:tc>
        <w:tc>
          <w:tcPr/>
          <w:p>
            <w:pPr>
              <w:pStyle w:val="Compact"/>
              <w:jc w:val="left"/>
            </w:pPr>
            <w:r>
              <w:t xml:space="preserve">Existing. Raw input Channel derives from; retained for audit.</w:t>
            </w:r>
          </w:p>
        </w:tc>
      </w:tr>
      <w:tr>
        <w:tc>
          <w:tcPr/>
          <w:p>
            <w:pPr>
              <w:pStyle w:val="Compact"/>
              <w:jc w:val="left"/>
            </w:pPr>
            <w:r>
              <w:t xml:space="preserve">(Unused)</w:t>
            </w:r>
          </w:p>
        </w:tc>
        <w:tc>
          <w:tcPr/>
          <w:p>
            <w:pPr>
              <w:pStyle w:val="Compact"/>
              <w:jc w:val="left"/>
            </w:pPr>
            <w:r>
              <w:t xml:space="preserve">UtmTerm</w:t>
            </w:r>
          </w:p>
        </w:tc>
        <w:tc>
          <w:tcPr/>
          <w:p>
            <w:pPr>
              <w:pStyle w:val="Compact"/>
              <w:jc w:val="left"/>
            </w:pPr>
            <w:r>
              <w:t xml:space="preserve">Exists; nothing is built on it. Accept if present, build nothing.</w:t>
            </w:r>
          </w:p>
        </w:tc>
      </w:tr>
      <w:tr>
        <w:tc>
          <w:tcPr/>
          <w:p>
            <w:pPr>
              <w:pStyle w:val="Compact"/>
              <w:jc w:val="left"/>
            </w:pPr>
            <w:r>
              <w:t xml:space="preserve">(Reserved)</w:t>
            </w:r>
          </w:p>
        </w:tc>
        <w:tc>
          <w:tcPr/>
          <w:p>
            <w:pPr>
              <w:pStyle w:val="Compact"/>
              <w:jc w:val="left"/>
            </w:pPr>
            <w:r>
              <w:t xml:space="preserve">PromoCode</w:t>
            </w:r>
          </w:p>
        </w:tc>
        <w:tc>
          <w:tcPr/>
          <w:p>
            <w:pPr>
              <w:pStyle w:val="Compact"/>
              <w:jc w:val="left"/>
            </w:pPr>
            <w:r>
              <w:t xml:space="preserve">Deliberately untouched. Reserved for actual promotional codes.</w:t>
            </w:r>
          </w:p>
        </w:tc>
      </w:tr>
      <w:tr>
        <w:tc>
          <w:tcPr/>
          <w:p>
            <w:pPr>
              <w:pStyle w:val="Compact"/>
              <w:jc w:val="left"/>
            </w:pPr>
            <w:r>
              <w:t xml:space="preserve">Market</w:t>
            </w:r>
          </w:p>
        </w:tc>
        <w:tc>
          <w:tcPr/>
          <w:p>
            <w:pPr>
              <w:pStyle w:val="Compact"/>
              <w:jc w:val="left"/>
            </w:pPr>
            <w:r>
              <w:t xml:space="preserve">Market</w:t>
            </w:r>
          </w:p>
        </w:tc>
        <w:tc>
          <w:tcPr/>
          <w:p>
            <w:pPr>
              <w:pStyle w:val="Compact"/>
              <w:jc w:val="left"/>
            </w:pPr>
            <w:r>
              <w:t xml:space="preserve">Unchanged. Derived from the entered address, not the URL slug.</w:t>
            </w:r>
          </w:p>
        </w:tc>
      </w:tr>
    </w:tbl>
    <w:bookmarkEnd w:id="41"/>
    <w:bookmarkStart w:id="42" w:name="why-channel-and-entry-point-are-separate"/>
    <w:p>
      <w:pPr>
        <w:pStyle w:val="Heading2"/>
      </w:pPr>
      <w:r>
        <w:t xml:space="preserve">Why Channel and Entry Point are separate</w:t>
      </w:r>
    </w:p>
    <w:p>
      <w:pPr>
        <w:pStyle w:val="FirstParagraph"/>
      </w:pPr>
      <w:r>
        <w:t xml:space="preserve">One channel uses many doors — a single campaign produces web-form, phone, and manual leads. One door carries many channels — the web form receives email, paid, creator, and direct traffic. Collapsing them is the root defect in the old system. The test for which field a fact belongs in: would we change spend based on it? If yes, Channel. If it’s just plumbing, Entry Point.</w:t>
      </w:r>
    </w:p>
    <w:bookmarkEnd w:id="42"/>
    <w:bookmarkStart w:id="43" w:name="why-first-touch-is-kept-separately"/>
    <w:p>
      <w:pPr>
        <w:pStyle w:val="Heading2"/>
      </w:pPr>
      <w:r>
        <w:t xml:space="preserve">Why first-touch is kept separately</w:t>
      </w:r>
    </w:p>
    <w:p>
      <w:pPr>
        <w:pStyle w:val="FirstParagraph"/>
      </w:pPr>
      <w:r>
        <w:t xml:space="preserve">The channels we most want to grow — creator, events, field, partnership — sit at the top of the funnel and rarely get the final click. A creator may originate a lead weeks before it converts through an email click. Store only last-touch and those channels look worthless and get defunded. Channel holds what converted; FirstTouchChannel holds what originated.</w:t>
      </w:r>
    </w:p>
    <w:bookmarkEnd w:id="43"/>
    <w:bookmarkStart w:id="44" w:name="three-doors-one-destination"/>
    <w:p>
      <w:pPr>
        <w:pStyle w:val="Heading2"/>
      </w:pPr>
      <w:r>
        <w:t xml:space="preserve">Three doors, one destination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Door</w:t>
            </w:r>
          </w:p>
        </w:tc>
        <w:tc>
          <w:tcPr/>
          <w:p>
            <w:pPr>
              <w:pStyle w:val="Compact"/>
              <w:jc w:val="left"/>
            </w:pPr>
            <w:r>
              <w:rPr>
                <w:bCs/>
                <w:b/>
              </w:rPr>
              <w:t xml:space="preserve">How attribution is set</w:t>
            </w:r>
          </w:p>
        </w:tc>
      </w:tr>
      <w:tr>
        <w:tc>
          <w:tcPr/>
          <w:p>
            <w:pPr>
              <w:pStyle w:val="Compact"/>
              <w:jc w:val="left"/>
            </w:pPr>
            <w:r>
              <w:t xml:space="preserve">Web form (live)</w:t>
            </w:r>
          </w:p>
        </w:tc>
        <w:tc>
          <w:tcPr/>
          <w:p>
            <w:pPr>
              <w:pStyle w:val="Compact"/>
              <w:jc w:val="left"/>
            </w:pPr>
            <w:r>
              <w:t xml:space="preserve">UTMs read from the URL on arrival, captured before the URL is cleaned. Channel derived from utm_source. entryPoint = web_form. First-touch read from the persistent store.</w:t>
            </w:r>
          </w:p>
        </w:tc>
      </w:tr>
      <w:tr>
        <w:tc>
          <w:tcPr/>
          <w:p>
            <w:pPr>
              <w:pStyle w:val="Compact"/>
              <w:jc w:val="left"/>
            </w:pPr>
            <w:r>
              <w:t xml:space="preserve">Phone (not yet built)</w:t>
            </w:r>
          </w:p>
        </w:tc>
        <w:tc>
          <w:tcPr/>
          <w:p>
            <w:pPr>
              <w:pStyle w:val="Compact"/>
              <w:jc w:val="left"/>
            </w:pPr>
            <w:r>
              <w:t xml:space="preserve">No URL, no UTM. Attribution comes from the tracking number dialed — each number assigned to a channel/campaign. entryPoint = phone. Calls still ring the same receptionist; a whisper announces the source before she answers.</w:t>
            </w:r>
          </w:p>
        </w:tc>
      </w:tr>
      <w:tr>
        <w:tc>
          <w:tcPr/>
          <w:p>
            <w:pPr>
              <w:pStyle w:val="Compact"/>
              <w:jc w:val="left"/>
            </w:pPr>
            <w:r>
              <w:t xml:space="preserve">Manual — rep-created (not yet built)</w:t>
            </w:r>
          </w:p>
        </w:tc>
        <w:tc>
          <w:tcPr/>
          <w:p>
            <w:pPr>
              <w:pStyle w:val="Compact"/>
              <w:jc w:val="left"/>
            </w:pPr>
            <w:r>
              <w:t xml:space="preserve">Rep selects values, pre-defaulted to their channel/campaign. entryPoint = manual. Channel and campaign must be mandatory so field leads cannot be saved unattributed.</w:t>
            </w:r>
          </w:p>
        </w:tc>
      </w:tr>
      <w:tr>
        <w:tc>
          <w:tcPr/>
          <w:p>
            <w:pPr>
              <w:pStyle w:val="Compact"/>
              <w:jc w:val="left"/>
            </w:pPr>
            <w:r>
              <w:t xml:space="preserve">Inbound email reply (live today, unattributed)</w:t>
            </w:r>
          </w:p>
        </w:tc>
        <w:tc>
          <w:tcPr/>
          <w:p>
            <w:pPr>
              <w:pStyle w:val="Compact"/>
              <w:jc w:val="left"/>
            </w:pPr>
            <w:r>
              <w:t xml:space="preserve">Agents replying to a campaign instead of clicking. Routes through the market distribution group into leads@curbio.com. channel = email set by the door; entryPoint = inbound_email; campaign best-effort from the subject line.</w:t>
            </w:r>
          </w:p>
        </w:tc>
      </w:tr>
    </w:tbl>
    <w:bookmarkEnd w:id="44"/>
    <w:bookmarkStart w:id="45" w:name="Xc5d6327ccded418ca0a64c23ee047ead06d0dfd"/>
    <w:p>
      <w:pPr>
        <w:pStyle w:val="Heading2"/>
      </w:pPr>
      <w:r>
        <w:t xml:space="preserve">Naming convention — lock before any new links are built</w:t>
      </w:r>
    </w:p>
    <w:p>
      <w:pPr>
        <w:numPr>
          <w:ilvl w:val="0"/>
          <w:numId w:val="1009"/>
        </w:numPr>
      </w:pPr>
      <w:r>
        <w:t xml:space="preserve">utm_source is always one of the ten channel values, spelled exactly. Lowercase, no spaces.</w:t>
      </w:r>
    </w:p>
    <w:p>
      <w:pPr>
        <w:numPr>
          <w:ilvl w:val="0"/>
          <w:numId w:val="1009"/>
        </w:numPr>
      </w:pPr>
      <w:r>
        <w:t xml:space="preserve">utm_campaign follows [tactic]-[descriptor]-[market-or-date], lowercase, hyphens not underscores. e.g. nurture-payatclosing-jun, creator-homereno-jane, cookie-q3-nova, bizcard-trevor-la.</w:t>
      </w:r>
    </w:p>
    <w:p>
      <w:pPr>
        <w:numPr>
          <w:ilvl w:val="0"/>
          <w:numId w:val="1009"/>
        </w:numPr>
      </w:pPr>
      <w:r>
        <w:t xml:space="preserve">utm_medium is one of: e, cpc, social, print, qr.</w:t>
      </w:r>
    </w:p>
    <w:p>
      <w:pPr>
        <w:numPr>
          <w:ilvl w:val="0"/>
          <w:numId w:val="1009"/>
        </w:numPr>
      </w:pPr>
      <w:r>
        <w:t xml:space="preserve">Validate channel against the closed list at the boundary so a malformed UTM cannot create a phantom channel.</w:t>
      </w:r>
    </w:p>
    <w:p>
      <w:pPr>
        <w:numPr>
          <w:ilvl w:val="0"/>
          <w:numId w:val="1009"/>
        </w:numPr>
      </w:pPr>
      <w:r>
        <w:rPr>
          <w:bCs/>
          <w:b/>
        </w:rPr>
        <w:t xml:space="preserve">One shared UTM builder as the single source of truth</w:t>
      </w:r>
      <w:r>
        <w:rPr>
          <w:bCs/>
          <w:b/>
        </w:rPr>
        <w:t xml:space="preserve"> </w:t>
      </w:r>
      <w:r>
        <w:t xml:space="preserve">so Levi, HSMs, partners, and any agency tag identically. Until it exists, treat campaign as best-effort and lean reporting on the reliable signals — source, medium, and market.</w:t>
      </w:r>
    </w:p>
    <w:bookmarkEnd w:id="45"/>
    <w:bookmarkStart w:id="46" w:name="X53a008802b16a59c5a902d1a3b50eec3828d4c1"/>
    <w:p>
      <w:pPr>
        <w:pStyle w:val="Heading2"/>
      </w:pPr>
      <w:r>
        <w:t xml:space="preserve">Enforcement — clean data is a behavior problem, not a schema problem</w:t>
      </w:r>
    </w:p>
    <w:p>
      <w:pPr>
        <w:numPr>
          <w:ilvl w:val="0"/>
          <w:numId w:val="1010"/>
        </w:numPr>
      </w:pPr>
      <w:r>
        <w:t xml:space="preserve">Channel required, closed-list, no free text, no blank.</w:t>
      </w:r>
    </w:p>
    <w:p>
      <w:pPr>
        <w:numPr>
          <w:ilvl w:val="0"/>
          <w:numId w:val="1010"/>
        </w:numPr>
      </w:pPr>
      <w:r>
        <w:t xml:space="preserve">Kill</w:t>
      </w:r>
      <w:r>
        <w:t xml:space="preserve"> </w:t>
      </w:r>
      <w:r>
        <w:t xml:space="preserve">“</w:t>
      </w:r>
      <w:r>
        <w:t xml:space="preserve">OTHER</w:t>
      </w:r>
      <w:r>
        <w:t xml:space="preserve">”</w:t>
      </w:r>
      <w:r>
        <w:t xml:space="preserve"> </w:t>
      </w:r>
      <w:r>
        <w:t xml:space="preserve">as a resting state. Unclassifiable leads route to a triage queue cleared weekly. Every permanent OTHER is unattributable spend.</w:t>
      </w:r>
    </w:p>
    <w:p>
      <w:pPr>
        <w:numPr>
          <w:ilvl w:val="0"/>
          <w:numId w:val="1010"/>
        </w:numPr>
      </w:pPr>
      <w:r>
        <w:t xml:space="preserve">Mandatory channel + campaign on manual creation, pre-defaulted per HSM — confirm, don’t type.</w:t>
      </w:r>
    </w:p>
    <w:p>
      <w:pPr>
        <w:numPr>
          <w:ilvl w:val="0"/>
          <w:numId w:val="1010"/>
        </w:numPr>
      </w:pPr>
      <w:r>
        <w:t xml:space="preserve">One-time backfill of existing records so live deals aren’t lost: INBOUND EMAIL → channel email; PHONE CALL → entry phone; LONEWOLF → entry lonewolf, channel partnership/referral; WWW.CURBIO.COM / LANDING PAGE → split by best signal, default direct; OTHER → manual triage.</w:t>
      </w:r>
    </w:p>
    <w:bookmarkEnd w:id="46"/>
    <w:bookmarkEnd w:id="47"/>
    <w:bookmarkStart w:id="49" w:name="measurement-and-the-dark-traffic-problem"/>
    <w:p>
      <w:pPr>
        <w:pStyle w:val="Heading1"/>
      </w:pPr>
      <w:r>
        <w:t xml:space="preserve">5. Measurement and the dark-traffic problem</w:t>
      </w:r>
    </w:p>
    <w:p>
      <w:pPr>
        <w:pStyle w:val="FirstParagraph"/>
      </w:pPr>
      <w:r>
        <w:t xml:space="preserve">An agent who reads an email and later types curbio.com arrives with no UTM and is technically indistinguishable from a cold visitor. No system solves this perfectly; the goal is to shrink the unknown bucket and estimate what’s in it.</w:t>
      </w:r>
    </w:p>
    <w:p>
      <w:pPr>
        <w:numPr>
          <w:ilvl w:val="0"/>
          <w:numId w:val="1011"/>
        </w:numPr>
      </w:pPr>
      <w:r>
        <w:rPr>
          <w:bCs/>
          <w:b/>
        </w:rPr>
        <w:t xml:space="preserve">Self-reported attribution.</w:t>
      </w:r>
      <w:r>
        <w:rPr>
          <w:bCs/>
          <w:b/>
        </w:rPr>
        <w:t xml:space="preserve"> </w:t>
      </w:r>
      <w:r>
        <w:t xml:space="preserve">A single</w:t>
      </w:r>
      <w:r>
        <w:t xml:space="preserve"> </w:t>
      </w:r>
      <w:r>
        <w:t xml:space="preserve">“</w:t>
      </w:r>
      <w:r>
        <w:t xml:space="preserve">How did you hear about us</w:t>
      </w:r>
      <w:r>
        <w:t xml:space="preserve">”</w:t>
      </w:r>
      <w:r>
        <w:t xml:space="preserve"> </w:t>
      </w:r>
      <w:r>
        <w:t xml:space="preserve">dropdown. Highest-ROI single fix and it recovers the email-typer directly. Deliberately deferred from the first build to keep the form frictionless — worth revisiting now that the 10% conversion baseline is established and can be A/B tested against.</w:t>
      </w:r>
    </w:p>
    <w:p>
      <w:pPr>
        <w:numPr>
          <w:ilvl w:val="0"/>
          <w:numId w:val="1011"/>
        </w:numPr>
      </w:pPr>
      <w:r>
        <w:rPr>
          <w:bCs/>
          <w:b/>
        </w:rPr>
        <w:t xml:space="preserve">Email-only destinations.</w:t>
      </w:r>
      <w:r>
        <w:rPr>
          <w:bCs/>
          <w:b/>
        </w:rPr>
        <w:t xml:space="preserve"> </w:t>
      </w:r>
      <w:r>
        <w:t xml:space="preserve">Sending email CTAs to a dedicated URL means anyone landing there, even by typing, almost certainly came from email. sell.curbio.com already serves this role.</w:t>
      </w:r>
    </w:p>
    <w:p>
      <w:pPr>
        <w:numPr>
          <w:ilvl w:val="0"/>
          <w:numId w:val="1011"/>
        </w:numPr>
      </w:pPr>
      <w:r>
        <w:rPr>
          <w:bCs/>
          <w:b/>
        </w:rPr>
        <w:t xml:space="preserve">Identity matching.</w:t>
      </w:r>
      <w:r>
        <w:rPr>
          <w:bCs/>
          <w:b/>
        </w:rPr>
        <w:t xml:space="preserve"> </w:t>
      </w:r>
      <w:r>
        <w:t xml:space="preserve">Match a web lead’s submitted email against recent campaign sends. A match is strong probabilistic attribution. Open question: does the CRM ↔ email platform match capability exist?</w:t>
      </w:r>
    </w:p>
    <w:p>
      <w:pPr>
        <w:numPr>
          <w:ilvl w:val="0"/>
          <w:numId w:val="1011"/>
        </w:numPr>
      </w:pPr>
      <w:r>
        <w:rPr>
          <w:bCs/>
          <w:b/>
        </w:rPr>
        <w:t xml:space="preserve">Holdout tests.</w:t>
      </w:r>
      <w:r>
        <w:rPr>
          <w:bCs/>
          <w:b/>
        </w:rPr>
        <w:t xml:space="preserve"> </w:t>
      </w:r>
      <w:r>
        <w:t xml:space="preserve">Withhold a campaign from a random 10% of a market; the lead lift in the other 90% — including</w:t>
      </w:r>
      <w:r>
        <w:t xml:space="preserve"> </w:t>
      </w:r>
      <w:r>
        <w:t xml:space="preserve">“</w:t>
      </w:r>
      <w:r>
        <w:t xml:space="preserve">direct</w:t>
      </w:r>
      <w:r>
        <w:t xml:space="preserve">”</w:t>
      </w:r>
      <w:r>
        <w:t xml:space="preserve"> </w:t>
      </w:r>
      <w:r>
        <w:t xml:space="preserve">— is that campaign’s true contribution. Measures effect even without per-lead tags.</w:t>
      </w:r>
    </w:p>
    <w:p>
      <w:pPr>
        <w:pStyle w:val="FirstParagraph"/>
      </w:pPr>
      <w:r>
        <w:rPr>
          <w:bCs/>
          <w:b/>
        </w:rPr>
        <w:t xml:space="preserve">Mental model:</w:t>
      </w:r>
      <w:r>
        <w:rPr>
          <w:bCs/>
          <w:b/>
        </w:rPr>
        <w:t xml:space="preserve"> </w:t>
      </w:r>
      <w:r>
        <w:t xml:space="preserve">last-click tells you where leads finished; self-report and holdouts tell you what actually caused them. The gap is dark traffic — keep it measured and shrinking, never assume it’s zero. This matters disproportionately here because our best channels are inherently dark: a partner blast, a brochure in a listing package, an agent who saw a webinar and typed the URL three weeks later.</w:t>
      </w:r>
    </w:p>
    <w:bookmarkStart w:id="48" w:name="the-report-that-runs-the-budget"/>
    <w:p>
      <w:pPr>
        <w:pStyle w:val="Heading2"/>
      </w:pPr>
      <w:r>
        <w:t xml:space="preserve">The report that runs the budget</w:t>
      </w:r>
    </w:p>
    <w:p>
      <w:pPr>
        <w:pStyle w:val="FirstParagraph"/>
      </w:pPr>
      <w:r>
        <w:t xml:space="preserve">One dashboard: the existing funnel (Lead → Spoke with Agent → Meeting Scheduled → Completed Walkthrough → Proposal Sent → Closed) sliced by channel × market, with CAC and close rate per cell, and first-touch beside last-touch.</w:t>
      </w:r>
    </w:p>
    <w:p>
      <w:pPr>
        <w:pStyle w:val="BodyText"/>
      </w:pPr>
      <w:r>
        <w:t xml:space="preserve">That is what lets us say</w:t>
      </w:r>
      <w:r>
        <w:t xml:space="preserve"> </w:t>
      </w:r>
      <w:r>
        <w:t xml:space="preserve">“</w:t>
      </w:r>
      <w:r>
        <w:t xml:space="preserve">creator leads in Atlanta close at 4% at $50 each; email nurture in DC closes at 11%; partner-sourced leads in NVA close at 18% over 60 days</w:t>
      </w:r>
      <w:r>
        <w:t xml:space="preserve">”</w:t>
      </w:r>
      <w:r>
        <w:t xml:space="preserve"> </w:t>
      </w:r>
      <w:r>
        <w:t xml:space="preserve">— and reallocate accordingly. It also answers the open sales question directly: whether a low close rate is a rep problem or a lead-source problem. Today that is invisible.</w:t>
      </w:r>
    </w:p>
    <w:p>
      <w:pPr>
        <w:pStyle w:val="BodyText"/>
      </w:pPr>
      <w:r>
        <w:rPr>
          <w:bCs/>
          <w:b/>
        </w:rPr>
        <w:t xml:space="preserve">This is the highest-leverage remaining build.</w:t>
      </w:r>
      <w:r>
        <w:rPr>
          <w:bCs/>
          <w:b/>
        </w:rPr>
        <w:t xml:space="preserve"> </w:t>
      </w:r>
      <w:r>
        <w:t xml:space="preserve">Clean inputs are wasted without a place to see the answer. Nothing today joins CRM + email + paid spend into one channel × market view.</w:t>
      </w:r>
    </w:p>
    <w:bookmarkEnd w:id="48"/>
    <w:bookmarkEnd w:id="49"/>
    <w:bookmarkStart w:id="50" w:name="timeline"/>
    <w:p>
      <w:pPr>
        <w:pStyle w:val="Heading1"/>
      </w:pPr>
      <w:r>
        <w:t xml:space="preserve">6. Timeline</w:t>
      </w:r>
    </w:p>
    <w:p>
      <w:pPr>
        <w:pStyle w:val="FirstParagraph"/>
      </w:pPr>
      <w:r>
        <w:t xml:space="preserve">Build the plumbing, turn on the channels we control, then layer in one higher-variance channel at a time so each can be isolated and measured.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Window</w:t>
            </w:r>
          </w:p>
        </w:tc>
        <w:tc>
          <w:tcPr/>
          <w:p>
            <w:pPr>
              <w:pStyle w:val="Compact"/>
              <w:jc w:val="left"/>
            </w:pPr>
            <w:r>
              <w:rPr>
                <w:bCs/>
                <w:b/>
              </w:rPr>
              <w:t xml:space="preserve">Focus</w:t>
            </w:r>
          </w:p>
        </w:tc>
        <w:tc>
          <w:tcPr/>
          <w:p>
            <w:pPr>
              <w:pStyle w:val="Compact"/>
              <w:jc w:val="left"/>
            </w:pPr>
            <w:r>
              <w:rPr>
                <w:bCs/>
                <w:b/>
              </w:rPr>
              <w:t xml:space="preserve">Specific deliverables</w:t>
            </w:r>
          </w:p>
        </w:tc>
        <w:tc>
          <w:tcPr/>
          <w:p>
            <w:pPr>
              <w:pStyle w:val="Compact"/>
              <w:jc w:val="left"/>
            </w:pPr>
            <w:r>
              <w:rPr>
                <w:bCs/>
                <w:b/>
              </w:rPr>
              <w:t xml:space="preserve">Gate to the next step</w:t>
            </w:r>
          </w:p>
        </w:tc>
      </w:tr>
      <w:tr>
        <w:tc>
          <w:tcPr/>
          <w:p>
            <w:pPr>
              <w:pStyle w:val="Compact"/>
              <w:jc w:val="left"/>
            </w:pPr>
            <w:r>
              <w:t xml:space="preserve">Days 0–30</w:t>
            </w:r>
          </w:p>
        </w:tc>
        <w:tc>
          <w:tcPr/>
          <w:p>
            <w:pPr>
              <w:pStyle w:val="Compact"/>
              <w:jc w:val="left"/>
            </w:pPr>
            <w:r>
              <w:t xml:space="preserve">Finish the foundation</w:t>
            </w:r>
          </w:p>
        </w:tc>
        <w:tc>
          <w:tcPr/>
          <w:p>
            <w:pPr>
              <w:pStyle w:val="Compact"/>
              <w:jc w:val="left"/>
            </w:pPr>
            <w:r>
              <w:t xml:space="preserve">Two new CRM columns live and verified on a real record · UTM builder published · opt-in + cold domains stood up and warming · messaging platform written · monthly marketing review call in place</w:t>
            </w:r>
          </w:p>
        </w:tc>
        <w:tc>
          <w:tcPr/>
          <w:p>
            <w:pPr>
              <w:pStyle w:val="Compact"/>
              <w:jc w:val="left"/>
            </w:pPr>
            <w:r>
              <w:t xml:space="preserve">A lead’s channel, campaign, and first-touch are provably correct on the record</w:t>
            </w:r>
          </w:p>
        </w:tc>
      </w:tr>
      <w:tr>
        <w:tc>
          <w:tcPr/>
          <w:p>
            <w:pPr>
              <w:pStyle w:val="Compact"/>
              <w:jc w:val="left"/>
            </w:pPr>
            <w:r>
              <w:t xml:space="preserve">Days 30–60</w:t>
            </w:r>
          </w:p>
        </w:tc>
        <w:tc>
          <w:tcPr/>
          <w:p>
            <w:pPr>
              <w:pStyle w:val="Compact"/>
              <w:jc w:val="left"/>
            </w:pPr>
            <w:r>
              <w:t xml:space="preserve">Turn on what we control</w:t>
            </w:r>
          </w:p>
        </w:tc>
        <w:tc>
          <w:tcPr/>
          <w:p>
            <w:pPr>
              <w:pStyle w:val="Compact"/>
              <w:jc w:val="left"/>
            </w:pPr>
            <w:r>
              <w:t xml:space="preserve">Weekly cold sends at full list · opt-in program segmented (prospecting / nurture / re-engagement / referral) · super-agent mailing + call loop running per HSM · paid agency selected and live · partner list compiled and call plan started</w:t>
            </w:r>
          </w:p>
        </w:tc>
        <w:tc>
          <w:tcPr/>
          <w:p>
            <w:pPr>
              <w:pStyle w:val="Compact"/>
              <w:jc w:val="left"/>
            </w:pPr>
            <w:r>
              <w:t xml:space="preserve">Baseline CAC and close rate per channel exist to judge everything else against</w:t>
            </w:r>
          </w:p>
        </w:tc>
      </w:tr>
      <w:tr>
        <w:tc>
          <w:tcPr/>
          <w:p>
            <w:pPr>
              <w:pStyle w:val="Compact"/>
              <w:jc w:val="left"/>
            </w:pPr>
            <w:r>
              <w:t xml:space="preserve">Days 60–90</w:t>
            </w:r>
          </w:p>
        </w:tc>
        <w:tc>
          <w:tcPr/>
          <w:p>
            <w:pPr>
              <w:pStyle w:val="Compact"/>
              <w:jc w:val="left"/>
            </w:pPr>
            <w:r>
              <w:t xml:space="preserve">Add measurable offline + test the big ideas</w:t>
            </w:r>
          </w:p>
        </w:tc>
        <w:tc>
          <w:tcPr/>
          <w:p>
            <w:pPr>
              <w:pStyle w:val="Compact"/>
              <w:jc w:val="left"/>
            </w:pPr>
            <w:r>
              <w:t xml:space="preserve">Call tracking live · first webinar · first local events · Starbucks vs. no-incentive test read out · Personal Analysis page tested on one market · curbio.com rebuild launched</w:t>
            </w:r>
          </w:p>
        </w:tc>
        <w:tc>
          <w:tcPr/>
          <w:p>
            <w:pPr>
              <w:pStyle w:val="Compact"/>
              <w:jc w:val="left"/>
            </w:pPr>
            <w:r>
              <w:t xml:space="preserve">Offline channels are measurable; the enterprise motion has a real cost-per-meeting number</w:t>
            </w:r>
          </w:p>
        </w:tc>
      </w:tr>
      <w:tr>
        <w:tc>
          <w:tcPr/>
          <w:p>
            <w:pPr>
              <w:pStyle w:val="Compact"/>
              <w:jc w:val="left"/>
            </w:pPr>
            <w:r>
              <w:t xml:space="preserve">Days 90–180</w:t>
            </w:r>
          </w:p>
        </w:tc>
        <w:tc>
          <w:tcPr/>
          <w:p>
            <w:pPr>
              <w:pStyle w:val="Compact"/>
              <w:jc w:val="left"/>
            </w:pPr>
            <w:r>
              <w:t xml:space="preserve">Scale what proved out</w:t>
            </w:r>
          </w:p>
        </w:tc>
        <w:tc>
          <w:tcPr/>
          <w:p>
            <w:pPr>
              <w:pStyle w:val="Compact"/>
              <w:jc w:val="left"/>
            </w:pPr>
            <w:r>
              <w:t xml:space="preserve">Creator/affiliate launch behind tracking + compliance guardrail · partner blast program at scale · newsletter monthly · reporting layer live · white-label/co-brand program</w:t>
            </w:r>
          </w:p>
        </w:tc>
        <w:tc>
          <w:tcPr/>
          <w:p>
            <w:pPr>
              <w:pStyle w:val="Compact"/>
              <w:jc w:val="left"/>
            </w:pPr>
            <w:r>
              <w:t xml:space="preserve">Channel × market report drives reallocation instead of intuition</w:t>
            </w:r>
          </w:p>
        </w:tc>
      </w:tr>
    </w:tbl>
    <w:bookmarkEnd w:id="50"/>
    <w:bookmarkStart w:id="51" w:name="budget"/>
    <w:p>
      <w:pPr>
        <w:pStyle w:val="Heading1"/>
      </w:pPr>
      <w:r>
        <w:t xml:space="preserve">7. Budget</w:t>
      </w:r>
    </w:p>
    <w:p>
      <w:pPr>
        <w:pStyle w:val="FirstParagraph"/>
      </w:pPr>
      <w:r>
        <w:t xml:space="preserve">Known figures from the CEO memo are fixed below. Everything marked TBD needs a real number before the plan is complete — this is the section to fill in before the first monthly review.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Line</w:t>
            </w:r>
          </w:p>
        </w:tc>
        <w:tc>
          <w:tcPr/>
          <w:p>
            <w:pPr>
              <w:pStyle w:val="Compact"/>
              <w:jc w:val="left"/>
            </w:pPr>
            <w:r>
              <w:rPr>
                <w:bCs/>
                <w:b/>
              </w:rPr>
              <w:t xml:space="preserve">Amount</w:t>
            </w:r>
          </w:p>
        </w:tc>
        <w:tc>
          <w:tcPr/>
          <w:p>
            <w:pPr>
              <w:pStyle w:val="Compact"/>
              <w:jc w:val="left"/>
            </w:pPr>
            <w:r>
              <w:rPr>
                <w:bCs/>
                <w:b/>
              </w:rPr>
              <w:t xml:space="preserve">Basis / note</w:t>
            </w:r>
          </w:p>
        </w:tc>
      </w:tr>
      <w:tr>
        <w:tc>
          <w:tcPr/>
          <w:p>
            <w:pPr>
              <w:pStyle w:val="Compact"/>
              <w:jc w:val="left"/>
            </w:pPr>
            <w:r>
              <w:t xml:space="preserve">Paid search + social (agency)</w:t>
            </w:r>
          </w:p>
        </w:tc>
        <w:tc>
          <w:tcPr/>
          <w:p>
            <w:pPr>
              <w:pStyle w:val="Compact"/>
              <w:jc w:val="left"/>
            </w:pPr>
            <w:r>
              <w:t xml:space="preserve">~$2,000/mo to start</w:t>
            </w:r>
          </w:p>
        </w:tc>
        <w:tc>
          <w:tcPr/>
          <w:p>
            <w:pPr>
              <w:pStyle w:val="Compact"/>
              <w:jc w:val="left"/>
            </w:pPr>
            <w:r>
              <w:t xml:space="preserve">CEO memo. Cheapest channel at initial volumes; also lifts conversion elsewhere.</w:t>
            </w:r>
          </w:p>
        </w:tc>
      </w:tr>
      <w:tr>
        <w:tc>
          <w:tcPr/>
          <w:p>
            <w:pPr>
              <w:pStyle w:val="Compact"/>
              <w:jc w:val="left"/>
            </w:pPr>
            <w:r>
              <w:t xml:space="preserve">Creator / affiliate</w:t>
            </w:r>
          </w:p>
        </w:tc>
        <w:tc>
          <w:tcPr/>
          <w:p>
            <w:pPr>
              <w:pStyle w:val="Compact"/>
              <w:jc w:val="left"/>
            </w:pPr>
            <w:r>
              <w:t xml:space="preserve">~$50+ per qualified lead</w:t>
            </w:r>
          </w:p>
        </w:tc>
        <w:tc>
          <w:tcPr/>
          <w:p>
            <w:pPr>
              <w:pStyle w:val="Compact"/>
              <w:jc w:val="left"/>
            </w:pPr>
            <w:r>
              <w:t xml:space="preserve">Pay per valid in-market SQL, not per post. Consider a smaller bounty on the lead plus a bonus on the closed deal.</w:t>
            </w:r>
          </w:p>
        </w:tc>
      </w:tr>
      <w:tr>
        <w:tc>
          <w:tcPr/>
          <w:p>
            <w:pPr>
              <w:pStyle w:val="Compact"/>
              <w:jc w:val="left"/>
            </w:pPr>
            <w:r>
              <w:t xml:space="preserve">Partner marketing fee</w:t>
            </w:r>
          </w:p>
        </w:tc>
        <w:tc>
          <w:tcPr/>
          <w:p>
            <w:pPr>
              <w:pStyle w:val="Compact"/>
              <w:jc w:val="left"/>
            </w:pPr>
            <w:r>
              <w:t xml:space="preserve">~$100 per proposal</w:t>
            </w:r>
          </w:p>
        </w:tc>
        <w:tc>
          <w:tcPr/>
          <w:p>
            <w:pPr>
              <w:pStyle w:val="Compact"/>
              <w:jc w:val="left"/>
            </w:pPr>
            <w:r>
              <w:t xml:space="preserve">To confirm with Adam. Paying brokerages to market us to their agents — not to recommend us.</w:t>
            </w:r>
          </w:p>
        </w:tc>
      </w:tr>
      <w:tr>
        <w:tc>
          <w:tcPr/>
          <w:p>
            <w:pPr>
              <w:pStyle w:val="Compact"/>
              <w:jc w:val="left"/>
            </w:pPr>
            <w:r>
              <w:t xml:space="preserve">Super-agent incentive</w:t>
            </w:r>
          </w:p>
        </w:tc>
        <w:tc>
          <w:tcPr/>
          <w:p>
            <w:pPr>
              <w:pStyle w:val="Compact"/>
              <w:jc w:val="left"/>
            </w:pPr>
            <w:r>
              <w:t xml:space="preserve">$15 per Starbucks card</w:t>
            </w:r>
          </w:p>
        </w:tc>
        <w:tc>
          <w:tcPr/>
          <w:p>
            <w:pPr>
              <w:pStyle w:val="Compact"/>
              <w:jc w:val="left"/>
            </w:pPr>
            <w:r>
              <w:t xml:space="preserve">~$150 per meeting at a 10% response. Test against a no-incentive control.</w:t>
            </w:r>
          </w:p>
        </w:tc>
      </w:tr>
      <w:tr>
        <w:tc>
          <w:tcPr/>
          <w:p>
            <w:pPr>
              <w:pStyle w:val="Compact"/>
              <w:jc w:val="left"/>
            </w:pPr>
            <w:r>
              <w:t xml:space="preserve">Events</w:t>
            </w:r>
          </w:p>
        </w:tc>
        <w:tc>
          <w:tcPr/>
          <w:p>
            <w:pPr>
              <w:pStyle w:val="Compact"/>
              <w:jc w:val="left"/>
            </w:pPr>
            <w:r>
              <w:t xml:space="preserve">~$25 per attendee</w:t>
            </w:r>
          </w:p>
        </w:tc>
        <w:tc>
          <w:tcPr/>
          <w:p>
            <w:pPr>
              <w:pStyle w:val="Compact"/>
              <w:jc w:val="left"/>
            </w:pPr>
            <w:r>
              <w:t xml:space="preserve">Continental breakfast or drinks and nibbles. Top 15% of agents only.</w:t>
            </w:r>
          </w:p>
        </w:tc>
      </w:tr>
      <w:tr>
        <w:tc>
          <w:tcPr/>
          <w:p>
            <w:pPr>
              <w:pStyle w:val="Compact"/>
              <w:jc w:val="left"/>
            </w:pPr>
            <w:r>
              <w:t xml:space="preserve">Email infrastructure</w:t>
            </w:r>
          </w:p>
        </w:tc>
        <w:tc>
          <w:tcPr/>
          <w:p>
            <w:pPr>
              <w:pStyle w:val="Compact"/>
              <w:jc w:val="left"/>
            </w:pPr>
            <w:r>
              <w:t xml:space="preserve">TBD</w:t>
            </w:r>
          </w:p>
        </w:tc>
        <w:tc>
          <w:tcPr/>
          <w:p>
            <w:pPr>
              <w:pStyle w:val="Compact"/>
              <w:jc w:val="left"/>
            </w:pPr>
            <w:r>
              <w:t xml:space="preserve">Domains, warming tools, sending platform, list acquisition (Dr. Bill, T360, others). Gavin to price.</w:t>
            </w:r>
          </w:p>
        </w:tc>
      </w:tr>
      <w:tr>
        <w:tc>
          <w:tcPr/>
          <w:p>
            <w:pPr>
              <w:pStyle w:val="Compact"/>
              <w:jc w:val="left"/>
            </w:pPr>
            <w:r>
              <w:t xml:space="preserve">Call tracking</w:t>
            </w:r>
          </w:p>
        </w:tc>
        <w:tc>
          <w:tcPr/>
          <w:p>
            <w:pPr>
              <w:pStyle w:val="Compact"/>
              <w:jc w:val="left"/>
            </w:pPr>
            <w:r>
              <w:t xml:space="preserve">Low hundreds/mo</w:t>
            </w:r>
          </w:p>
        </w:tc>
        <w:tc>
          <w:tcPr/>
          <w:p>
            <w:pPr>
              <w:pStyle w:val="Compact"/>
              <w:jc w:val="left"/>
            </w:pPr>
            <w:r>
              <w:t xml:space="preserve">CallRail-class tooling. Required before offline channels can be measured.</w:t>
            </w:r>
          </w:p>
        </w:tc>
      </w:tr>
      <w:tr>
        <w:tc>
          <w:tcPr/>
          <w:p>
            <w:pPr>
              <w:pStyle w:val="Compact"/>
              <w:jc w:val="left"/>
            </w:pPr>
            <w:r>
              <w:t xml:space="preserve">Website + landing pages</w:t>
            </w:r>
          </w:p>
        </w:tc>
        <w:tc>
          <w:tcPr/>
          <w:p>
            <w:pPr>
              <w:pStyle w:val="Compact"/>
              <w:jc w:val="left"/>
            </w:pPr>
            <w:r>
              <w:t xml:space="preserve">~$20/mo hosting + tooling</w:t>
            </w:r>
          </w:p>
        </w:tc>
        <w:tc>
          <w:tcPr/>
          <w:p>
            <w:pPr>
              <w:pStyle w:val="Compact"/>
              <w:jc w:val="left"/>
            </w:pPr>
            <w:r>
              <w:t xml:space="preserve">Already running. WP Engine overlap ends at day 60 of the migration.</w:t>
            </w:r>
          </w:p>
        </w:tc>
      </w:tr>
      <w:tr>
        <w:tc>
          <w:tcPr/>
          <w:p>
            <w:pPr>
              <w:pStyle w:val="Compact"/>
              <w:jc w:val="left"/>
            </w:pPr>
            <w:r>
              <w:t xml:space="preserve">Content / freelancers</w:t>
            </w:r>
          </w:p>
        </w:tc>
        <w:tc>
          <w:tcPr/>
          <w:p>
            <w:pPr>
              <w:pStyle w:val="Compact"/>
              <w:jc w:val="left"/>
            </w:pPr>
            <w:r>
              <w:t xml:space="preserve">TBD</w:t>
            </w:r>
          </w:p>
        </w:tc>
        <w:tc>
          <w:tcPr/>
          <w:p>
            <w:pPr>
              <w:pStyle w:val="Compact"/>
              <w:jc w:val="left"/>
            </w:pPr>
            <w:r>
              <w:t xml:space="preserve">Long-form, social, video, infographics, newsletter. Priced per piece once the messaging platform exists.</w:t>
            </w:r>
          </w:p>
        </w:tc>
      </w:tr>
      <w:tr>
        <w:tc>
          <w:tcPr/>
          <w:p>
            <w:pPr>
              <w:pStyle w:val="Compact"/>
              <w:jc w:val="left"/>
            </w:pPr>
            <w:r>
              <w:t xml:space="preserve">Consent / privacy tooling</w:t>
            </w:r>
          </w:p>
        </w:tc>
        <w:tc>
          <w:tcPr/>
          <w:p>
            <w:pPr>
              <w:pStyle w:val="Compact"/>
              <w:jc w:val="left"/>
            </w:pPr>
            <w:r>
              <w:t xml:space="preserve">~$25/mo per domain</w:t>
            </w:r>
          </w:p>
        </w:tc>
        <w:tc>
          <w:tcPr/>
          <w:p>
            <w:pPr>
              <w:pStyle w:val="Compact"/>
              <w:jc w:val="left"/>
            </w:pPr>
            <w:r>
              <w:t xml:space="preserve">CookieYes Pro, per domain.</w:t>
            </w:r>
          </w:p>
        </w:tc>
      </w:tr>
    </w:tbl>
    <w:bookmarkEnd w:id="51"/>
    <w:bookmarkStart w:id="54" w:name="priorities-and-open-decisions"/>
    <w:p>
      <w:pPr>
        <w:pStyle w:val="Heading1"/>
      </w:pPr>
      <w:r>
        <w:t xml:space="preserve">8. Priorities and open decisions</w:t>
      </w:r>
    </w:p>
    <w:bookmarkStart w:id="52" w:name="the-five-things-that-matter-most"/>
    <w:p>
      <w:pPr>
        <w:pStyle w:val="Heading2"/>
      </w:pPr>
      <w:r>
        <w:t xml:space="preserve">The five things that matter most</w:t>
      </w:r>
    </w:p>
    <w:p>
      <w:pPr>
        <w:numPr>
          <w:ilvl w:val="0"/>
          <w:numId w:val="1012"/>
        </w:numPr>
      </w:pPr>
      <w:r>
        <w:rPr>
          <w:bCs/>
          <w:b/>
        </w:rPr>
        <w:t xml:space="preserve">Finish attribution before scaling spend.</w:t>
      </w:r>
      <w:r>
        <w:rPr>
          <w:bCs/>
          <w:b/>
        </w:rPr>
        <w:t xml:space="preserve"> </w:t>
      </w:r>
      <w:r>
        <w:t xml:space="preserve">Two columns and one verified test record away. Clean inputs first, or we scale channels we can’t measure.</w:t>
      </w:r>
    </w:p>
    <w:p>
      <w:pPr>
        <w:numPr>
          <w:ilvl w:val="0"/>
          <w:numId w:val="1012"/>
        </w:numPr>
      </w:pPr>
      <w:r>
        <w:rPr>
          <w:bCs/>
          <w:b/>
        </w:rPr>
        <w:t xml:space="preserve">Optimize for qualified RFQ, not form-fills.</w:t>
      </w:r>
      <w:r>
        <w:rPr>
          <w:bCs/>
          <w:b/>
        </w:rPr>
        <w:t xml:space="preserve"> </w:t>
      </w:r>
      <w:r>
        <w:t xml:space="preserve">Volume the average HSM can’t close isn’t progress.</w:t>
      </w:r>
    </w:p>
    <w:p>
      <w:pPr>
        <w:numPr>
          <w:ilvl w:val="0"/>
          <w:numId w:val="1012"/>
        </w:numPr>
      </w:pPr>
      <w:r>
        <w:rPr>
          <w:bCs/>
          <w:b/>
        </w:rPr>
        <w:t xml:space="preserve">Weight partnerships and the enterprise motion.</w:t>
      </w:r>
      <w:r>
        <w:rPr>
          <w:bCs/>
          <w:b/>
        </w:rPr>
        <w:t xml:space="preserve"> </w:t>
      </w:r>
      <w:r>
        <w:t xml:space="preserve">These are the two places where one win supplies a market’s entire number.</w:t>
      </w:r>
    </w:p>
    <w:p>
      <w:pPr>
        <w:numPr>
          <w:ilvl w:val="0"/>
          <w:numId w:val="1012"/>
        </w:numPr>
      </w:pPr>
      <w:r>
        <w:rPr>
          <w:bCs/>
          <w:b/>
        </w:rPr>
        <w:t xml:space="preserve">Protect top-of-funnel channels with first-touch.</w:t>
      </w:r>
      <w:r>
        <w:rPr>
          <w:bCs/>
          <w:b/>
        </w:rPr>
        <w:t xml:space="preserve"> </w:t>
      </w:r>
      <w:r>
        <w:t xml:space="preserve">Creator, events, and partnership rarely get the last click. Without first-touch we defund what fills the funnel.</w:t>
      </w:r>
    </w:p>
    <w:p>
      <w:pPr>
        <w:numPr>
          <w:ilvl w:val="0"/>
          <w:numId w:val="1012"/>
        </w:numPr>
      </w:pPr>
      <w:r>
        <w:rPr>
          <w:bCs/>
          <w:b/>
        </w:rPr>
        <w:t xml:space="preserve">Treat HSM enablement as marketing’s job.</w:t>
      </w:r>
      <w:r>
        <w:rPr>
          <w:bCs/>
          <w:b/>
        </w:rPr>
        <w:t xml:space="preserve"> </w:t>
      </w:r>
      <w:r>
        <w:t xml:space="preserve">Moving the team from ~6% to ~10% close at ~$25k ACV is roughly $400k incremental per quarter. No volume of top-of-funnel work touches that.</w:t>
      </w:r>
    </w:p>
    <w:bookmarkEnd w:id="52"/>
    <w:bookmarkStart w:id="53" w:name="open-decisions"/>
    <w:p>
      <w:pPr>
        <w:pStyle w:val="Heading2"/>
      </w:pPr>
      <w:r>
        <w:t xml:space="preserve">Open decisions</w:t>
      </w:r>
    </w:p>
    <w:p>
      <w:pPr>
        <w:numPr>
          <w:ilvl w:val="0"/>
          <w:numId w:val="1013"/>
        </w:numPr>
      </w:pPr>
      <w:r>
        <w:t xml:space="preserve">Cold list size — confirm the ~100k figure and its sources (Gavin).</w:t>
      </w:r>
    </w:p>
    <w:p>
      <w:pPr>
        <w:numPr>
          <w:ilvl w:val="0"/>
          <w:numId w:val="1013"/>
        </w:numPr>
      </w:pPr>
      <w:r>
        <w:t xml:space="preserve">Partner marketing fee — confirm the pay-per-proposal structure and compliance framing (Adam).</w:t>
      </w:r>
    </w:p>
    <w:p>
      <w:pPr>
        <w:numPr>
          <w:ilvl w:val="0"/>
          <w:numId w:val="1013"/>
        </w:numPr>
      </w:pPr>
      <w:r>
        <w:t xml:space="preserve">Paid agency — select, or decide to run in-house.</w:t>
      </w:r>
    </w:p>
    <w:p>
      <w:pPr>
        <w:numPr>
          <w:ilvl w:val="0"/>
          <w:numId w:val="1013"/>
        </w:numPr>
      </w:pPr>
      <w:r>
        <w:t xml:space="preserve">CRM ↔ email platform identity match — does it exist? Determines the strongest dark-traffic recovery method.</w:t>
      </w:r>
    </w:p>
    <w:p>
      <w:pPr>
        <w:numPr>
          <w:ilvl w:val="0"/>
          <w:numId w:val="1013"/>
        </w:numPr>
      </w:pPr>
      <w:r>
        <w:t xml:space="preserve">Self-reported attribution field — add it now and A/B test against the current 10% baseline, or continue deferring for friction?</w:t>
      </w:r>
    </w:p>
    <w:p>
      <w:pPr>
        <w:numPr>
          <w:ilvl w:val="0"/>
          <w:numId w:val="1013"/>
        </w:numPr>
      </w:pPr>
      <w:r>
        <w:t xml:space="preserve">Reporting layer — RESOLVED: built in-house on the sell.curbio.com platform (/admin). Remaining: wire the spend store.</w:t>
      </w:r>
    </w:p>
    <w:p>
      <w:pPr>
        <w:numPr>
          <w:ilvl w:val="0"/>
          <w:numId w:val="1013"/>
        </w:numPr>
      </w:pPr>
      <w:r>
        <w:t xml:space="preserve">Creator program size per market — a handful with a page each, or 20+ requiring shared pages and affiliate software.</w:t>
      </w:r>
    </w:p>
    <w:p>
      <w:pPr>
        <w:numPr>
          <w:ilvl w:val="0"/>
          <w:numId w:val="1013"/>
        </w:numPr>
      </w:pPr>
      <w:r>
        <w:t xml:space="preserve">Events cadence and which markets go first.</w:t>
      </w:r>
    </w:p>
    <w:p>
      <w:pPr>
        <w:pStyle w:val="FirstParagraph"/>
      </w:pPr>
      <w:r>
        <w:rPr>
          <w:iCs/>
          <w:i/>
        </w:rPr>
        <w:t xml:space="preserve">Cadence: monthly marketing review with the team, per the CEO memo. The channel × market report is the agenda.</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2026-08-29T20:02:33Z</dcterms:created>
  <dcterms:modified xsi:type="dcterms:W3CDTF">2026-08-29T20:02:33Z</dcterms:modified>
</cp:coreProperties>
</file>

<file path=docProps/custom.xml><?xml version="1.0" encoding="utf-8"?>
<Properties xmlns="http://schemas.openxmlformats.org/officeDocument/2006/custom-properties" xmlns:vt="http://schemas.openxmlformats.org/officeDocument/2006/docPropsVTypes"/>
</file>