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E16A" w14:textId="77777777" w:rsidR="00B2302E" w:rsidRDefault="00000000">
      <w:pPr>
        <w:spacing w:after="60"/>
      </w:pPr>
      <w:r>
        <w:rPr>
          <w:b/>
          <w:bCs/>
          <w:color w:val="1F3A5F"/>
          <w:sz w:val="40"/>
          <w:szCs w:val="40"/>
        </w:rPr>
        <w:t>CURBIO</w:t>
      </w:r>
    </w:p>
    <w:p w14:paraId="5016E16B" w14:textId="77777777" w:rsidR="00B2302E" w:rsidRDefault="00000000">
      <w:pPr>
        <w:spacing w:after="120"/>
      </w:pPr>
      <w:r>
        <w:rPr>
          <w:b/>
          <w:bCs/>
          <w:color w:val="222222"/>
          <w:sz w:val="30"/>
          <w:szCs w:val="30"/>
        </w:rPr>
        <w:t>Attribution System — Technical Specification</w:t>
      </w:r>
    </w:p>
    <w:p w14:paraId="5016E16C" w14:textId="77777777" w:rsidR="00B2302E" w:rsidRDefault="00000000">
      <w:pPr>
        <w:spacing w:after="120"/>
      </w:pPr>
      <w:r>
        <w:rPr>
          <w:color w:val="555555"/>
        </w:rPr>
        <w:t>Data model, capture logic, and CRM mapping for unified lead attribution</w:t>
      </w:r>
    </w:p>
    <w:p w14:paraId="5016E16D" w14:textId="77777777" w:rsidR="00B2302E" w:rsidRDefault="00000000">
      <w:pPr>
        <w:spacing w:after="120"/>
      </w:pPr>
      <w:r>
        <w:rPr>
          <w:i/>
          <w:iCs/>
          <w:color w:val="555555"/>
          <w:sz w:val="20"/>
          <w:szCs w:val="20"/>
        </w:rPr>
        <w:t>v3.2 · August 26, 2026 · Supersedes v3.1 (August 11, 2026) · Audience: Engineering / CTO</w:t>
      </w:r>
    </w:p>
    <w:p w14:paraId="5016E16E" w14:textId="77777777" w:rsidR="00B2302E" w:rsidRDefault="00000000">
      <w:pPr>
        <w:spacing w:after="200"/>
      </w:pPr>
      <w:r>
        <w:rPr>
          <w:i/>
          <w:iCs/>
          <w:color w:val="8A6D3B"/>
          <w:sz w:val="20"/>
          <w:szCs w:val="20"/>
        </w:rPr>
        <w:t>Status: web door SHIPPED and VERIFIED for last-touch. Root cause of the four non-landing mappings FOUND and FIXED in the payload (key-name mismatch, deployed Aug 26). End-to-end verification test lead in flight. Phone and manual doors not built.</w:t>
      </w:r>
    </w:p>
    <w:p w14:paraId="5016E16F" w14:textId="77777777" w:rsidR="00B2302E" w:rsidRDefault="00000000">
      <w:pPr>
        <w:pStyle w:val="Heading1"/>
        <w:spacing w:before="280" w:after="140"/>
      </w:pPr>
      <w:r>
        <w:rPr>
          <w:b/>
          <w:bCs/>
          <w:color w:val="1F3A5F"/>
          <w:sz w:val="30"/>
          <w:szCs w:val="30"/>
        </w:rPr>
        <w:t>Changes in v3.2</w:t>
      </w:r>
    </w:p>
    <w:p w14:paraId="5016E170" w14:textId="77777777" w:rsidR="00B2302E" w:rsidRDefault="00000000">
      <w:pPr>
        <w:spacing w:after="120"/>
      </w:pPr>
      <w:r>
        <w:rPr>
          <w:color w:val="222222"/>
        </w:rPr>
        <w:t>v3.1 left one central mystery: four payload fields arrived at the intake with HTTP 200 and never populated their columns. v3.2 records the root cause, the fix, the decisions closed since, and a refreshed data window (848 deals, Jan 2 – Aug 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2302E" w14:paraId="5016E173"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5016E171" w14:textId="77777777" w:rsidR="00B2302E" w:rsidRDefault="00000000">
            <w:r>
              <w:rPr>
                <w:b/>
                <w:bCs/>
                <w:color w:val="FFFFFF"/>
                <w:sz w:val="19"/>
                <w:szCs w:val="19"/>
              </w:rPr>
              <w:t>Change</w:t>
            </w:r>
          </w:p>
        </w:tc>
        <w:tc>
          <w:tcPr>
            <w:tcW w:w="6760" w:type="dxa"/>
            <w:shd w:val="clear" w:color="auto" w:fill="1F3A5F"/>
            <w:tcMar>
              <w:top w:w="60" w:type="dxa"/>
              <w:left w:w="100" w:type="dxa"/>
              <w:bottom w:w="60" w:type="dxa"/>
              <w:right w:w="100" w:type="dxa"/>
            </w:tcMar>
          </w:tcPr>
          <w:p w14:paraId="5016E172" w14:textId="77777777" w:rsidR="00B2302E" w:rsidRDefault="00000000">
            <w:r>
              <w:rPr>
                <w:b/>
                <w:bCs/>
                <w:color w:val="FFFFFF"/>
                <w:sz w:val="19"/>
                <w:szCs w:val="19"/>
              </w:rPr>
              <w:t>Detail</w:t>
            </w:r>
          </w:p>
        </w:tc>
      </w:tr>
      <w:tr w:rsidR="00B2302E" w14:paraId="5016E176" w14:textId="77777777">
        <w:tblPrEx>
          <w:tblCellMar>
            <w:top w:w="0" w:type="dxa"/>
            <w:bottom w:w="0" w:type="dxa"/>
          </w:tblCellMar>
        </w:tblPrEx>
        <w:tc>
          <w:tcPr>
            <w:tcW w:w="2600" w:type="dxa"/>
            <w:tcMar>
              <w:top w:w="60" w:type="dxa"/>
              <w:left w:w="100" w:type="dxa"/>
              <w:bottom w:w="60" w:type="dxa"/>
              <w:right w:w="100" w:type="dxa"/>
            </w:tcMar>
          </w:tcPr>
          <w:p w14:paraId="5016E174" w14:textId="77777777" w:rsidR="00B2302E" w:rsidRDefault="00000000">
            <w:r>
              <w:rPr>
                <w:color w:val="222222"/>
                <w:sz w:val="19"/>
                <w:szCs w:val="19"/>
              </w:rPr>
              <w:t>Root cause found: key-name mismatch</w:t>
            </w:r>
          </w:p>
        </w:tc>
        <w:tc>
          <w:tcPr>
            <w:tcW w:w="6760" w:type="dxa"/>
            <w:tcMar>
              <w:top w:w="60" w:type="dxa"/>
              <w:left w:w="100" w:type="dxa"/>
              <w:bottom w:w="60" w:type="dxa"/>
              <w:right w:w="100" w:type="dxa"/>
            </w:tcMar>
          </w:tcPr>
          <w:p w14:paraId="5016E175" w14:textId="77777777" w:rsidR="00B2302E" w:rsidRDefault="00000000">
            <w:r>
              <w:rPr>
                <w:color w:val="222222"/>
                <w:sz w:val="19"/>
                <w:szCs w:val="19"/>
              </w:rPr>
              <w:t>The payload sent entryPoint, firstTouchChannel, and firstTouchCampaign; the CRM columns are Origin, LeadSource, FirstTouchCampaign. The intake matches keys by name (casing is normalised, names are not), so unmatched keys were silently dropped. Proven on Deal 99465 (Aug 25): full payload, 200 OK, three columns blank. UtmContent was never sent at all — a payload omission on our side, not an intake drop.</w:t>
            </w:r>
          </w:p>
        </w:tc>
      </w:tr>
      <w:tr w:rsidR="00B2302E" w14:paraId="5016E179" w14:textId="77777777">
        <w:tblPrEx>
          <w:tblCellMar>
            <w:top w:w="0" w:type="dxa"/>
            <w:bottom w:w="0" w:type="dxa"/>
          </w:tblCellMar>
        </w:tblPrEx>
        <w:tc>
          <w:tcPr>
            <w:tcW w:w="2600" w:type="dxa"/>
            <w:tcMar>
              <w:top w:w="60" w:type="dxa"/>
              <w:left w:w="100" w:type="dxa"/>
              <w:bottom w:w="60" w:type="dxa"/>
              <w:right w:w="100" w:type="dxa"/>
            </w:tcMar>
          </w:tcPr>
          <w:p w14:paraId="5016E177" w14:textId="77777777" w:rsidR="00B2302E" w:rsidRDefault="00000000">
            <w:r>
              <w:rPr>
                <w:color w:val="222222"/>
                <w:sz w:val="19"/>
                <w:szCs w:val="19"/>
              </w:rPr>
              <w:t>Payload fixed (deployed Aug 26)</w:t>
            </w:r>
          </w:p>
        </w:tc>
        <w:tc>
          <w:tcPr>
            <w:tcW w:w="6760" w:type="dxa"/>
            <w:tcMar>
              <w:top w:w="60" w:type="dxa"/>
              <w:left w:w="100" w:type="dxa"/>
              <w:bottom w:w="60" w:type="dxa"/>
              <w:right w:w="100" w:type="dxa"/>
            </w:tcMar>
          </w:tcPr>
          <w:p w14:paraId="5016E178" w14:textId="77777777" w:rsidR="00B2302E" w:rsidRDefault="00000000">
            <w:r>
              <w:rPr>
                <w:color w:val="222222"/>
                <w:sz w:val="19"/>
                <w:szCs w:val="19"/>
              </w:rPr>
              <w:t>Keys renamed to Origin, LeadSource, FirstTouchCampaign. UtmContent added (carries the A/B variant). The dead medium duplicate removed. UtmTerm remains deliberately unsent. See §6.</w:t>
            </w:r>
          </w:p>
        </w:tc>
      </w:tr>
      <w:tr w:rsidR="00B2302E" w14:paraId="5016E17C" w14:textId="77777777">
        <w:tblPrEx>
          <w:tblCellMar>
            <w:top w:w="0" w:type="dxa"/>
            <w:bottom w:w="0" w:type="dxa"/>
          </w:tblCellMar>
        </w:tblPrEx>
        <w:tc>
          <w:tcPr>
            <w:tcW w:w="2600" w:type="dxa"/>
            <w:tcMar>
              <w:top w:w="60" w:type="dxa"/>
              <w:left w:w="100" w:type="dxa"/>
              <w:bottom w:w="60" w:type="dxa"/>
              <w:right w:w="100" w:type="dxa"/>
            </w:tcMar>
          </w:tcPr>
          <w:p w14:paraId="5016E17A" w14:textId="77777777" w:rsidR="00B2302E" w:rsidRDefault="00000000">
            <w:r>
              <w:rPr>
                <w:color w:val="222222"/>
                <w:sz w:val="19"/>
                <w:szCs w:val="19"/>
              </w:rPr>
              <w:t>Channel list grows to ten: event added</w:t>
            </w:r>
          </w:p>
        </w:tc>
        <w:tc>
          <w:tcPr>
            <w:tcW w:w="6760" w:type="dxa"/>
            <w:tcMar>
              <w:top w:w="60" w:type="dxa"/>
              <w:left w:w="100" w:type="dxa"/>
              <w:bottom w:w="60" w:type="dxa"/>
              <w:right w:w="100" w:type="dxa"/>
            </w:tcMar>
          </w:tcPr>
          <w:p w14:paraId="5016E17B" w14:textId="77777777" w:rsidR="00B2302E" w:rsidRDefault="00000000">
            <w:r>
              <w:rPr>
                <w:color w:val="222222"/>
                <w:sz w:val="19"/>
                <w:szCs w:val="19"/>
              </w:rPr>
              <w:t>Events (webinars, conference booths, open houses) are a funded motion under the spend test and previously had no honest value — they were being squinted into partnership or hsm_field. Added before the October event push so ExpCon launches attributed. mail is documented as next-in-line, to be added only when the direct-mail motion launches.</w:t>
            </w:r>
          </w:p>
        </w:tc>
      </w:tr>
      <w:tr w:rsidR="00B2302E" w14:paraId="5016E17F" w14:textId="77777777">
        <w:tblPrEx>
          <w:tblCellMar>
            <w:top w:w="0" w:type="dxa"/>
            <w:bottom w:w="0" w:type="dxa"/>
          </w:tblCellMar>
        </w:tblPrEx>
        <w:tc>
          <w:tcPr>
            <w:tcW w:w="2600" w:type="dxa"/>
            <w:tcMar>
              <w:top w:w="60" w:type="dxa"/>
              <w:left w:w="100" w:type="dxa"/>
              <w:bottom w:w="60" w:type="dxa"/>
              <w:right w:w="100" w:type="dxa"/>
            </w:tcMar>
          </w:tcPr>
          <w:p w14:paraId="5016E17D" w14:textId="77777777" w:rsidR="00B2302E" w:rsidRDefault="00000000">
            <w:r>
              <w:rPr>
                <w:color w:val="222222"/>
                <w:sz w:val="19"/>
                <w:szCs w:val="19"/>
              </w:rPr>
              <w:t>Partnership derivation DECIDED</w:t>
            </w:r>
          </w:p>
        </w:tc>
        <w:tc>
          <w:tcPr>
            <w:tcW w:w="6760" w:type="dxa"/>
            <w:tcMar>
              <w:top w:w="60" w:type="dxa"/>
              <w:left w:w="100" w:type="dxa"/>
              <w:bottom w:w="60" w:type="dxa"/>
              <w:right w:w="100" w:type="dxa"/>
            </w:tcMar>
          </w:tcPr>
          <w:p w14:paraId="5016E17E" w14:textId="77777777" w:rsidR="00B2302E" w:rsidRDefault="00000000">
            <w:r>
              <w:rPr>
                <w:color w:val="222222"/>
                <w:sz w:val="19"/>
                <w:szCs w:val="19"/>
              </w:rPr>
              <w:t>A lead carrying a ReferralSourceId also derives channel = partnership (campaign = partner name) unless a stronger UTM signal is present. Partner volume must appear in channel × market reporting, not only in a side field — required before any pay-per-proposal marketing fee.</w:t>
            </w:r>
          </w:p>
        </w:tc>
      </w:tr>
      <w:tr w:rsidR="00B2302E" w14:paraId="5016E182" w14:textId="77777777">
        <w:tblPrEx>
          <w:tblCellMar>
            <w:top w:w="0" w:type="dxa"/>
            <w:bottom w:w="0" w:type="dxa"/>
          </w:tblCellMar>
        </w:tblPrEx>
        <w:tc>
          <w:tcPr>
            <w:tcW w:w="2600" w:type="dxa"/>
            <w:tcMar>
              <w:top w:w="60" w:type="dxa"/>
              <w:left w:w="100" w:type="dxa"/>
              <w:bottom w:w="60" w:type="dxa"/>
              <w:right w:w="100" w:type="dxa"/>
            </w:tcMar>
          </w:tcPr>
          <w:p w14:paraId="5016E180" w14:textId="77777777" w:rsidR="00B2302E" w:rsidRDefault="00000000">
            <w:r>
              <w:rPr>
                <w:color w:val="222222"/>
                <w:sz w:val="19"/>
                <w:szCs w:val="19"/>
              </w:rPr>
              <w:t>Naming convention extended: cold- / nurture-</w:t>
            </w:r>
          </w:p>
        </w:tc>
        <w:tc>
          <w:tcPr>
            <w:tcW w:w="6760" w:type="dxa"/>
            <w:tcMar>
              <w:top w:w="60" w:type="dxa"/>
              <w:left w:w="100" w:type="dxa"/>
              <w:bottom w:w="60" w:type="dxa"/>
              <w:right w:w="100" w:type="dxa"/>
            </w:tcMar>
          </w:tcPr>
          <w:p w14:paraId="5016E181" w14:textId="77777777" w:rsidR="00B2302E" w:rsidRDefault="00000000">
            <w:r>
              <w:rPr>
                <w:color w:val="222222"/>
                <w:sz w:val="19"/>
                <w:szCs w:val="19"/>
              </w:rPr>
              <w:t>The email program splits into cold and opt-in domains. The campaign's leading tactic token now distinguishes them: cold sends begin cold-, opt-in sends begin nurture-. No new fields.</w:t>
            </w:r>
          </w:p>
        </w:tc>
      </w:tr>
      <w:tr w:rsidR="00B2302E" w14:paraId="5016E185" w14:textId="77777777">
        <w:tblPrEx>
          <w:tblCellMar>
            <w:top w:w="0" w:type="dxa"/>
            <w:bottom w:w="0" w:type="dxa"/>
          </w:tblCellMar>
        </w:tblPrEx>
        <w:tc>
          <w:tcPr>
            <w:tcW w:w="2600" w:type="dxa"/>
            <w:tcMar>
              <w:top w:w="60" w:type="dxa"/>
              <w:left w:w="100" w:type="dxa"/>
              <w:bottom w:w="60" w:type="dxa"/>
              <w:right w:w="100" w:type="dxa"/>
            </w:tcMar>
          </w:tcPr>
          <w:p w14:paraId="5016E183" w14:textId="77777777" w:rsidR="00B2302E" w:rsidRDefault="00000000">
            <w:r>
              <w:rPr>
                <w:color w:val="222222"/>
                <w:sz w:val="19"/>
                <w:szCs w:val="19"/>
              </w:rPr>
              <w:t>Market list removed from this spec</w:t>
            </w:r>
          </w:p>
        </w:tc>
        <w:tc>
          <w:tcPr>
            <w:tcW w:w="6760" w:type="dxa"/>
            <w:tcMar>
              <w:top w:w="60" w:type="dxa"/>
              <w:left w:w="100" w:type="dxa"/>
              <w:bottom w:w="60" w:type="dxa"/>
              <w:right w:w="100" w:type="dxa"/>
            </w:tcMar>
          </w:tcPr>
          <w:p w14:paraId="5016E184" w14:textId="77777777" w:rsidR="00B2302E" w:rsidRDefault="00000000">
            <w:r>
              <w:rPr>
                <w:color w:val="222222"/>
                <w:sz w:val="19"/>
                <w:szCs w:val="19"/>
              </w:rPr>
              <w:t>v3.1 enumerated seven markets and was already stale (no Seattle, which has 19 deals in the CRM). Markets change too often to live in a spec. The market field holds the display name from the market configuration — the config is the source of truth, this document no longer lists values.</w:t>
            </w:r>
          </w:p>
        </w:tc>
      </w:tr>
      <w:tr w:rsidR="00B2302E" w14:paraId="5016E188" w14:textId="77777777">
        <w:tblPrEx>
          <w:tblCellMar>
            <w:top w:w="0" w:type="dxa"/>
            <w:bottom w:w="0" w:type="dxa"/>
          </w:tblCellMar>
        </w:tblPrEx>
        <w:tc>
          <w:tcPr>
            <w:tcW w:w="2600" w:type="dxa"/>
            <w:tcMar>
              <w:top w:w="60" w:type="dxa"/>
              <w:left w:w="100" w:type="dxa"/>
              <w:bottom w:w="60" w:type="dxa"/>
              <w:right w:w="100" w:type="dxa"/>
            </w:tcMar>
          </w:tcPr>
          <w:p w14:paraId="5016E186" w14:textId="77777777" w:rsidR="00B2302E" w:rsidRDefault="00000000">
            <w:r>
              <w:rPr>
                <w:color w:val="222222"/>
                <w:sz w:val="19"/>
                <w:szCs w:val="19"/>
              </w:rPr>
              <w:t>referralSourceId fallback recorded</w:t>
            </w:r>
          </w:p>
        </w:tc>
        <w:tc>
          <w:tcPr>
            <w:tcW w:w="6760" w:type="dxa"/>
            <w:tcMar>
              <w:top w:w="60" w:type="dxa"/>
              <w:left w:w="100" w:type="dxa"/>
              <w:bottom w:w="60" w:type="dxa"/>
              <w:right w:w="100" w:type="dxa"/>
            </w:tcMar>
          </w:tcPr>
          <w:p w14:paraId="5016E187" w14:textId="77777777" w:rsidR="00B2302E" w:rsidRDefault="00000000">
            <w:r>
              <w:rPr>
                <w:color w:val="222222"/>
                <w:sz w:val="19"/>
                <w:szCs w:val="19"/>
              </w:rPr>
              <w:t>Non-partner web leads fall back to the literal string "landing page" (server-side, route.ts). This conflicts with §3b's definition of the column as partner attribution, and is retained as a deliberate interim decision pending the site relaunch. Do not 'fix' it without a replacement label plan.</w:t>
            </w:r>
          </w:p>
        </w:tc>
      </w:tr>
      <w:tr w:rsidR="00B2302E" w14:paraId="5016E18B" w14:textId="77777777">
        <w:tblPrEx>
          <w:tblCellMar>
            <w:top w:w="0" w:type="dxa"/>
            <w:bottom w:w="0" w:type="dxa"/>
          </w:tblCellMar>
        </w:tblPrEx>
        <w:tc>
          <w:tcPr>
            <w:tcW w:w="2600" w:type="dxa"/>
            <w:tcMar>
              <w:top w:w="60" w:type="dxa"/>
              <w:left w:w="100" w:type="dxa"/>
              <w:bottom w:w="60" w:type="dxa"/>
              <w:right w:w="100" w:type="dxa"/>
            </w:tcMar>
          </w:tcPr>
          <w:p w14:paraId="5016E189" w14:textId="77777777" w:rsidR="00B2302E" w:rsidRDefault="00000000">
            <w:r>
              <w:rPr>
                <w:color w:val="222222"/>
                <w:sz w:val="19"/>
                <w:szCs w:val="19"/>
              </w:rPr>
              <w:t>leadId noted</w:t>
            </w:r>
          </w:p>
        </w:tc>
        <w:tc>
          <w:tcPr>
            <w:tcW w:w="6760" w:type="dxa"/>
            <w:tcMar>
              <w:top w:w="60" w:type="dxa"/>
              <w:left w:w="100" w:type="dxa"/>
              <w:bottom w:w="60" w:type="dxa"/>
              <w:right w:w="100" w:type="dxa"/>
            </w:tcMar>
          </w:tcPr>
          <w:p w14:paraId="5016E18A" w14:textId="77777777" w:rsidR="00B2302E" w:rsidRDefault="00000000">
            <w:r>
              <w:rPr>
                <w:color w:val="222222"/>
                <w:sz w:val="19"/>
                <w:szCs w:val="19"/>
              </w:rPr>
              <w:t>The web app generates a per-lead ID used as its internal join key. It is deliberately NOT sent to the CRM — decision Aug 26. If cross-system tracing is ever needed, this is the field to send; today Deal matching is by email + timestamp.</w:t>
            </w:r>
          </w:p>
        </w:tc>
      </w:tr>
    </w:tbl>
    <w:p w14:paraId="5016E18C" w14:textId="77777777" w:rsidR="00B2302E" w:rsidRDefault="00000000">
      <w:pPr>
        <w:pStyle w:val="Heading1"/>
        <w:spacing w:before="280" w:after="140"/>
      </w:pPr>
      <w:r>
        <w:rPr>
          <w:b/>
          <w:bCs/>
          <w:color w:val="1F3A5F"/>
          <w:sz w:val="30"/>
          <w:szCs w:val="30"/>
        </w:rPr>
        <w:lastRenderedPageBreak/>
        <w:t>v3.2 data window — the attribution report, Jan 2 – Aug 27 2026</w:t>
      </w:r>
    </w:p>
    <w:p w14:paraId="5016E18D" w14:textId="77777777" w:rsidR="00B2302E" w:rsidRDefault="00000000">
      <w:pPr>
        <w:spacing w:after="120"/>
      </w:pPr>
      <w:r>
        <w:rPr>
          <w:color w:val="222222"/>
        </w:rPr>
        <w:t>The unified Marketing Attribution report now covers 848 deals (86 open, 710 lost, 52 won). Field population across the full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5760"/>
      </w:tblGrid>
      <w:tr w:rsidR="00B2302E" w14:paraId="5016E191" w14:textId="77777777">
        <w:tblPrEx>
          <w:tblCellMar>
            <w:top w:w="0" w:type="dxa"/>
            <w:bottom w:w="0" w:type="dxa"/>
          </w:tblCellMar>
        </w:tblPrEx>
        <w:trPr>
          <w:tblHeader/>
        </w:trPr>
        <w:tc>
          <w:tcPr>
            <w:tcW w:w="2100" w:type="dxa"/>
            <w:shd w:val="clear" w:color="auto" w:fill="1F3A5F"/>
            <w:tcMar>
              <w:top w:w="60" w:type="dxa"/>
              <w:left w:w="100" w:type="dxa"/>
              <w:bottom w:w="60" w:type="dxa"/>
              <w:right w:w="100" w:type="dxa"/>
            </w:tcMar>
          </w:tcPr>
          <w:p w14:paraId="5016E18E" w14:textId="77777777" w:rsidR="00B2302E" w:rsidRDefault="00000000">
            <w:r>
              <w:rPr>
                <w:b/>
                <w:bCs/>
                <w:color w:val="FFFFFF"/>
                <w:sz w:val="19"/>
                <w:szCs w:val="19"/>
              </w:rPr>
              <w:t>Column</w:t>
            </w:r>
          </w:p>
        </w:tc>
        <w:tc>
          <w:tcPr>
            <w:tcW w:w="1500" w:type="dxa"/>
            <w:shd w:val="clear" w:color="auto" w:fill="1F3A5F"/>
            <w:tcMar>
              <w:top w:w="60" w:type="dxa"/>
              <w:left w:w="100" w:type="dxa"/>
              <w:bottom w:w="60" w:type="dxa"/>
              <w:right w:w="100" w:type="dxa"/>
            </w:tcMar>
          </w:tcPr>
          <w:p w14:paraId="5016E18F" w14:textId="77777777" w:rsidR="00B2302E" w:rsidRDefault="00000000">
            <w:r>
              <w:rPr>
                <w:b/>
                <w:bCs/>
                <w:color w:val="FFFFFF"/>
                <w:sz w:val="19"/>
                <w:szCs w:val="19"/>
              </w:rPr>
              <w:t>Populated</w:t>
            </w:r>
          </w:p>
        </w:tc>
        <w:tc>
          <w:tcPr>
            <w:tcW w:w="5760" w:type="dxa"/>
            <w:shd w:val="clear" w:color="auto" w:fill="1F3A5F"/>
            <w:tcMar>
              <w:top w:w="60" w:type="dxa"/>
              <w:left w:w="100" w:type="dxa"/>
              <w:bottom w:w="60" w:type="dxa"/>
              <w:right w:w="100" w:type="dxa"/>
            </w:tcMar>
          </w:tcPr>
          <w:p w14:paraId="5016E190" w14:textId="77777777" w:rsidR="00B2302E" w:rsidRDefault="00000000">
            <w:r>
              <w:rPr>
                <w:b/>
                <w:bCs/>
                <w:color w:val="FFFFFF"/>
                <w:sz w:val="19"/>
                <w:szCs w:val="19"/>
              </w:rPr>
              <w:t>Read</w:t>
            </w:r>
          </w:p>
        </w:tc>
      </w:tr>
      <w:tr w:rsidR="00B2302E" w14:paraId="5016E195" w14:textId="77777777">
        <w:tblPrEx>
          <w:tblCellMar>
            <w:top w:w="0" w:type="dxa"/>
            <w:bottom w:w="0" w:type="dxa"/>
          </w:tblCellMar>
        </w:tblPrEx>
        <w:tc>
          <w:tcPr>
            <w:tcW w:w="2100" w:type="dxa"/>
            <w:tcMar>
              <w:top w:w="60" w:type="dxa"/>
              <w:left w:w="100" w:type="dxa"/>
              <w:bottom w:w="60" w:type="dxa"/>
              <w:right w:w="100" w:type="dxa"/>
            </w:tcMar>
          </w:tcPr>
          <w:p w14:paraId="5016E192" w14:textId="77777777" w:rsidR="00B2302E" w:rsidRDefault="00000000">
            <w:r>
              <w:rPr>
                <w:color w:val="222222"/>
                <w:sz w:val="19"/>
                <w:szCs w:val="19"/>
              </w:rPr>
              <w:t>ReferralSource</w:t>
            </w:r>
          </w:p>
        </w:tc>
        <w:tc>
          <w:tcPr>
            <w:tcW w:w="1500" w:type="dxa"/>
            <w:tcMar>
              <w:top w:w="60" w:type="dxa"/>
              <w:left w:w="100" w:type="dxa"/>
              <w:bottom w:w="60" w:type="dxa"/>
              <w:right w:w="100" w:type="dxa"/>
            </w:tcMar>
          </w:tcPr>
          <w:p w14:paraId="5016E193" w14:textId="77777777" w:rsidR="00B2302E" w:rsidRDefault="00000000">
            <w:r>
              <w:rPr>
                <w:color w:val="222222"/>
                <w:sz w:val="19"/>
                <w:szCs w:val="19"/>
              </w:rPr>
              <w:t>716 / 848 (84%)</w:t>
            </w:r>
          </w:p>
        </w:tc>
        <w:tc>
          <w:tcPr>
            <w:tcW w:w="5760" w:type="dxa"/>
            <w:tcMar>
              <w:top w:w="60" w:type="dxa"/>
              <w:left w:w="100" w:type="dxa"/>
              <w:bottom w:w="60" w:type="dxa"/>
              <w:right w:w="100" w:type="dxa"/>
            </w:tcMar>
          </w:tcPr>
          <w:p w14:paraId="5016E194" w14:textId="77777777" w:rsidR="00B2302E" w:rsidRDefault="00000000">
            <w:r>
              <w:rPr>
                <w:color w:val="222222"/>
                <w:sz w:val="19"/>
                <w:szCs w:val="19"/>
              </w:rPr>
              <w:t>Still the broadest signal — and still the junk drawer: www.curbio.com (331), Phone Call (53), landing page (50), Other (49), lonewolf (45), Inbound Email (38), plus partner labels and page URLs. Four question-types in one column; the backfill mapping in §8 is what retires it.</w:t>
            </w:r>
          </w:p>
        </w:tc>
      </w:tr>
      <w:tr w:rsidR="00B2302E" w14:paraId="5016E199" w14:textId="77777777">
        <w:tblPrEx>
          <w:tblCellMar>
            <w:top w:w="0" w:type="dxa"/>
            <w:bottom w:w="0" w:type="dxa"/>
          </w:tblCellMar>
        </w:tblPrEx>
        <w:tc>
          <w:tcPr>
            <w:tcW w:w="2100" w:type="dxa"/>
            <w:tcMar>
              <w:top w:w="60" w:type="dxa"/>
              <w:left w:w="100" w:type="dxa"/>
              <w:bottom w:w="60" w:type="dxa"/>
              <w:right w:w="100" w:type="dxa"/>
            </w:tcMar>
          </w:tcPr>
          <w:p w14:paraId="5016E196" w14:textId="77777777" w:rsidR="00B2302E" w:rsidRDefault="00000000">
            <w:r>
              <w:rPr>
                <w:color w:val="222222"/>
                <w:sz w:val="19"/>
                <w:szCs w:val="19"/>
              </w:rPr>
              <w:t>Channel</w:t>
            </w:r>
          </w:p>
        </w:tc>
        <w:tc>
          <w:tcPr>
            <w:tcW w:w="1500" w:type="dxa"/>
            <w:tcMar>
              <w:top w:w="60" w:type="dxa"/>
              <w:left w:w="100" w:type="dxa"/>
              <w:bottom w:w="60" w:type="dxa"/>
              <w:right w:w="100" w:type="dxa"/>
            </w:tcMar>
          </w:tcPr>
          <w:p w14:paraId="5016E197" w14:textId="77777777" w:rsidR="00B2302E" w:rsidRDefault="00000000">
            <w:r>
              <w:rPr>
                <w:color w:val="222222"/>
                <w:sz w:val="19"/>
                <w:szCs w:val="19"/>
              </w:rPr>
              <w:t>55 / 848 (6%)</w:t>
            </w:r>
          </w:p>
        </w:tc>
        <w:tc>
          <w:tcPr>
            <w:tcW w:w="5760" w:type="dxa"/>
            <w:tcMar>
              <w:top w:w="60" w:type="dxa"/>
              <w:left w:w="100" w:type="dxa"/>
              <w:bottom w:w="60" w:type="dxa"/>
              <w:right w:w="100" w:type="dxa"/>
            </w:tcMar>
          </w:tcPr>
          <w:p w14:paraId="5016E198" w14:textId="77777777" w:rsidR="00B2302E" w:rsidRDefault="00000000">
            <w:r>
              <w:rPr>
                <w:color w:val="222222"/>
                <w:sz w:val="19"/>
                <w:szCs w:val="19"/>
              </w:rPr>
              <w:t>All attributed deals date from July onward — 30 in July, 25 in August — i.e. the web door working from the moment it shipped. Values: email 45, partnership 7, direct 3. Nothing before July carries a channel, as expected.</w:t>
            </w:r>
          </w:p>
        </w:tc>
      </w:tr>
      <w:tr w:rsidR="00B2302E" w14:paraId="5016E19D" w14:textId="77777777">
        <w:tblPrEx>
          <w:tblCellMar>
            <w:top w:w="0" w:type="dxa"/>
            <w:bottom w:w="0" w:type="dxa"/>
          </w:tblCellMar>
        </w:tblPrEx>
        <w:tc>
          <w:tcPr>
            <w:tcW w:w="2100" w:type="dxa"/>
            <w:tcMar>
              <w:top w:w="60" w:type="dxa"/>
              <w:left w:w="100" w:type="dxa"/>
              <w:bottom w:w="60" w:type="dxa"/>
              <w:right w:w="100" w:type="dxa"/>
            </w:tcMar>
          </w:tcPr>
          <w:p w14:paraId="5016E19A" w14:textId="77777777" w:rsidR="00B2302E" w:rsidRDefault="00000000">
            <w:r>
              <w:rPr>
                <w:color w:val="222222"/>
                <w:sz w:val="19"/>
                <w:szCs w:val="19"/>
              </w:rPr>
              <w:t>UtmSource / UtmMedium</w:t>
            </w:r>
          </w:p>
        </w:tc>
        <w:tc>
          <w:tcPr>
            <w:tcW w:w="1500" w:type="dxa"/>
            <w:tcMar>
              <w:top w:w="60" w:type="dxa"/>
              <w:left w:w="100" w:type="dxa"/>
              <w:bottom w:w="60" w:type="dxa"/>
              <w:right w:w="100" w:type="dxa"/>
            </w:tcMar>
          </w:tcPr>
          <w:p w14:paraId="5016E19B" w14:textId="77777777" w:rsidR="00B2302E" w:rsidRDefault="00000000">
            <w:r>
              <w:rPr>
                <w:color w:val="222222"/>
                <w:sz w:val="19"/>
                <w:szCs w:val="19"/>
              </w:rPr>
              <w:t>93 / 85 (10-11%)</w:t>
            </w:r>
          </w:p>
        </w:tc>
        <w:tc>
          <w:tcPr>
            <w:tcW w:w="5760" w:type="dxa"/>
            <w:tcMar>
              <w:top w:w="60" w:type="dxa"/>
              <w:left w:w="100" w:type="dxa"/>
              <w:bottom w:w="60" w:type="dxa"/>
              <w:right w:w="100" w:type="dxa"/>
            </w:tcMar>
          </w:tcPr>
          <w:p w14:paraId="5016E19C" w14:textId="77777777" w:rsidR="00B2302E" w:rsidRDefault="00000000">
            <w:r>
              <w:rPr>
                <w:color w:val="222222"/>
                <w:sz w:val="19"/>
                <w:szCs w:val="19"/>
              </w:rPr>
              <w:t>The web-door leads plus inbound-email literals ("Inbound Email" written raw into both — see §5d).</w:t>
            </w:r>
          </w:p>
        </w:tc>
      </w:tr>
      <w:tr w:rsidR="00B2302E" w14:paraId="5016E1A1" w14:textId="77777777">
        <w:tblPrEx>
          <w:tblCellMar>
            <w:top w:w="0" w:type="dxa"/>
            <w:bottom w:w="0" w:type="dxa"/>
          </w:tblCellMar>
        </w:tblPrEx>
        <w:tc>
          <w:tcPr>
            <w:tcW w:w="2100" w:type="dxa"/>
            <w:tcMar>
              <w:top w:w="60" w:type="dxa"/>
              <w:left w:w="100" w:type="dxa"/>
              <w:bottom w:w="60" w:type="dxa"/>
              <w:right w:w="100" w:type="dxa"/>
            </w:tcMar>
          </w:tcPr>
          <w:p w14:paraId="5016E19E" w14:textId="77777777" w:rsidR="00B2302E" w:rsidRDefault="00000000">
            <w:r>
              <w:rPr>
                <w:color w:val="222222"/>
                <w:sz w:val="19"/>
                <w:szCs w:val="19"/>
              </w:rPr>
              <w:t>UtmCampaign</w:t>
            </w:r>
          </w:p>
        </w:tc>
        <w:tc>
          <w:tcPr>
            <w:tcW w:w="1500" w:type="dxa"/>
            <w:tcMar>
              <w:top w:w="60" w:type="dxa"/>
              <w:left w:w="100" w:type="dxa"/>
              <w:bottom w:w="60" w:type="dxa"/>
              <w:right w:w="100" w:type="dxa"/>
            </w:tcMar>
          </w:tcPr>
          <w:p w14:paraId="5016E19F" w14:textId="77777777" w:rsidR="00B2302E" w:rsidRDefault="00000000">
            <w:r>
              <w:rPr>
                <w:color w:val="222222"/>
                <w:sz w:val="19"/>
                <w:szCs w:val="19"/>
              </w:rPr>
              <w:t>55 (6%)</w:t>
            </w:r>
          </w:p>
        </w:tc>
        <w:tc>
          <w:tcPr>
            <w:tcW w:w="5760" w:type="dxa"/>
            <w:tcMar>
              <w:top w:w="60" w:type="dxa"/>
              <w:left w:w="100" w:type="dxa"/>
              <w:bottom w:w="60" w:type="dxa"/>
              <w:right w:w="100" w:type="dxa"/>
            </w:tcMar>
          </w:tcPr>
          <w:p w14:paraId="5016E1A0" w14:textId="77777777" w:rsidR="00B2302E" w:rsidRDefault="00000000">
            <w:r>
              <w:rPr>
                <w:color w:val="222222"/>
                <w:sz w:val="19"/>
                <w:szCs w:val="19"/>
              </w:rPr>
              <w:t>Sixteen distinct campaigns individually visible, led by easytip-jul (9), exp-partner-landingpage (7), honestly-jul (6). NOTE: two campaign values carry a trailing non-breaking space ("price-jul " and "halfway-jul ") — exactly the silent fracture §7 warns about; they will not aggregate with their clean twins. Fix at the link source.</w:t>
            </w:r>
          </w:p>
        </w:tc>
      </w:tr>
      <w:tr w:rsidR="00B2302E" w14:paraId="5016E1A5" w14:textId="77777777">
        <w:tblPrEx>
          <w:tblCellMar>
            <w:top w:w="0" w:type="dxa"/>
            <w:bottom w:w="0" w:type="dxa"/>
          </w:tblCellMar>
        </w:tblPrEx>
        <w:tc>
          <w:tcPr>
            <w:tcW w:w="2100" w:type="dxa"/>
            <w:tcMar>
              <w:top w:w="60" w:type="dxa"/>
              <w:left w:w="100" w:type="dxa"/>
              <w:bottom w:w="60" w:type="dxa"/>
              <w:right w:w="100" w:type="dxa"/>
            </w:tcMar>
          </w:tcPr>
          <w:p w14:paraId="5016E1A2" w14:textId="77777777" w:rsidR="00B2302E" w:rsidRDefault="00000000">
            <w:r>
              <w:rPr>
                <w:color w:val="222222"/>
                <w:sz w:val="19"/>
                <w:szCs w:val="19"/>
              </w:rPr>
              <w:t>LeadSource</w:t>
            </w:r>
          </w:p>
        </w:tc>
        <w:tc>
          <w:tcPr>
            <w:tcW w:w="1500" w:type="dxa"/>
            <w:tcMar>
              <w:top w:w="60" w:type="dxa"/>
              <w:left w:w="100" w:type="dxa"/>
              <w:bottom w:w="60" w:type="dxa"/>
              <w:right w:w="100" w:type="dxa"/>
            </w:tcMar>
          </w:tcPr>
          <w:p w14:paraId="5016E1A3" w14:textId="77777777" w:rsidR="00B2302E" w:rsidRDefault="00000000">
            <w:r>
              <w:rPr>
                <w:color w:val="222222"/>
                <w:sz w:val="19"/>
                <w:szCs w:val="19"/>
              </w:rPr>
              <w:t>84 (10%)</w:t>
            </w:r>
          </w:p>
        </w:tc>
        <w:tc>
          <w:tcPr>
            <w:tcW w:w="5760" w:type="dxa"/>
            <w:tcMar>
              <w:top w:w="60" w:type="dxa"/>
              <w:left w:w="100" w:type="dxa"/>
              <w:bottom w:w="60" w:type="dxa"/>
              <w:right w:w="100" w:type="dxa"/>
            </w:tcMar>
          </w:tcPr>
          <w:p w14:paraId="5016E1A4" w14:textId="77777777" w:rsidR="00B2302E" w:rsidRDefault="00000000">
            <w:r>
              <w:rPr>
                <w:color w:val="222222"/>
                <w:sz w:val="19"/>
                <w:szCs w:val="19"/>
              </w:rPr>
              <w:t>Legacy values only — Phone Call (38), mobile app, raw sender email addresses. This is the collision documented in §3: other intake paths still write the old meaning. The repurposed first-touch values will begin landing with the Aug 26 payload fix; the legacy writers must be re-pointed before the column is trustworthy.</w:t>
            </w:r>
          </w:p>
        </w:tc>
      </w:tr>
      <w:tr w:rsidR="00B2302E" w14:paraId="5016E1A9" w14:textId="77777777">
        <w:tblPrEx>
          <w:tblCellMar>
            <w:top w:w="0" w:type="dxa"/>
            <w:bottom w:w="0" w:type="dxa"/>
          </w:tblCellMar>
        </w:tblPrEx>
        <w:tc>
          <w:tcPr>
            <w:tcW w:w="2100" w:type="dxa"/>
            <w:tcMar>
              <w:top w:w="60" w:type="dxa"/>
              <w:left w:w="100" w:type="dxa"/>
              <w:bottom w:w="60" w:type="dxa"/>
              <w:right w:w="100" w:type="dxa"/>
            </w:tcMar>
          </w:tcPr>
          <w:p w14:paraId="5016E1A6" w14:textId="77777777" w:rsidR="00B2302E" w:rsidRDefault="00000000">
            <w:r>
              <w:rPr>
                <w:color w:val="222222"/>
                <w:sz w:val="19"/>
                <w:szCs w:val="19"/>
              </w:rPr>
              <w:t>Origin / UtmContent / FirstTouchCampaign</w:t>
            </w:r>
          </w:p>
        </w:tc>
        <w:tc>
          <w:tcPr>
            <w:tcW w:w="1500" w:type="dxa"/>
            <w:tcMar>
              <w:top w:w="60" w:type="dxa"/>
              <w:left w:w="100" w:type="dxa"/>
              <w:bottom w:w="60" w:type="dxa"/>
              <w:right w:w="100" w:type="dxa"/>
            </w:tcMar>
          </w:tcPr>
          <w:p w14:paraId="5016E1A7" w14:textId="77777777" w:rsidR="00B2302E" w:rsidRDefault="00000000">
            <w:r>
              <w:rPr>
                <w:color w:val="222222"/>
                <w:sz w:val="19"/>
                <w:szCs w:val="19"/>
              </w:rPr>
              <w:t>0 (0%)</w:t>
            </w:r>
          </w:p>
        </w:tc>
        <w:tc>
          <w:tcPr>
            <w:tcW w:w="5760" w:type="dxa"/>
            <w:tcMar>
              <w:top w:w="60" w:type="dxa"/>
              <w:left w:w="100" w:type="dxa"/>
              <w:bottom w:w="60" w:type="dxa"/>
              <w:right w:w="100" w:type="dxa"/>
            </w:tcMar>
          </w:tcPr>
          <w:p w14:paraId="5016E1A8" w14:textId="77777777" w:rsidR="00B2302E" w:rsidRDefault="00000000">
            <w:r>
              <w:rPr>
                <w:color w:val="222222"/>
                <w:sz w:val="19"/>
                <w:szCs w:val="19"/>
              </w:rPr>
              <w:t>The three casualties of the key-name mismatch. Expected to populate from Aug 26 forward. First verification lead in flight.</w:t>
            </w:r>
          </w:p>
        </w:tc>
      </w:tr>
      <w:tr w:rsidR="00B2302E" w14:paraId="5016E1AD" w14:textId="77777777">
        <w:tblPrEx>
          <w:tblCellMar>
            <w:top w:w="0" w:type="dxa"/>
            <w:bottom w:w="0" w:type="dxa"/>
          </w:tblCellMar>
        </w:tblPrEx>
        <w:tc>
          <w:tcPr>
            <w:tcW w:w="2100" w:type="dxa"/>
            <w:tcMar>
              <w:top w:w="60" w:type="dxa"/>
              <w:left w:w="100" w:type="dxa"/>
              <w:bottom w:w="60" w:type="dxa"/>
              <w:right w:w="100" w:type="dxa"/>
            </w:tcMar>
          </w:tcPr>
          <w:p w14:paraId="5016E1AA" w14:textId="77777777" w:rsidR="00B2302E" w:rsidRDefault="00000000">
            <w:r>
              <w:rPr>
                <w:color w:val="222222"/>
                <w:sz w:val="19"/>
                <w:szCs w:val="19"/>
              </w:rPr>
              <w:t>UtmTerm</w:t>
            </w:r>
          </w:p>
        </w:tc>
        <w:tc>
          <w:tcPr>
            <w:tcW w:w="1500" w:type="dxa"/>
            <w:tcMar>
              <w:top w:w="60" w:type="dxa"/>
              <w:left w:w="100" w:type="dxa"/>
              <w:bottom w:w="60" w:type="dxa"/>
              <w:right w:w="100" w:type="dxa"/>
            </w:tcMar>
          </w:tcPr>
          <w:p w14:paraId="5016E1AB" w14:textId="77777777" w:rsidR="00B2302E" w:rsidRDefault="00000000">
            <w:r>
              <w:rPr>
                <w:color w:val="222222"/>
                <w:sz w:val="19"/>
                <w:szCs w:val="19"/>
              </w:rPr>
              <w:t>0 (0%)</w:t>
            </w:r>
          </w:p>
        </w:tc>
        <w:tc>
          <w:tcPr>
            <w:tcW w:w="5760" w:type="dxa"/>
            <w:tcMar>
              <w:top w:w="60" w:type="dxa"/>
              <w:left w:w="100" w:type="dxa"/>
              <w:bottom w:w="60" w:type="dxa"/>
              <w:right w:w="100" w:type="dxa"/>
            </w:tcMar>
          </w:tcPr>
          <w:p w14:paraId="5016E1AC" w14:textId="77777777" w:rsidR="00B2302E" w:rsidRDefault="00000000">
            <w:r>
              <w:rPr>
                <w:color w:val="222222"/>
                <w:sz w:val="19"/>
                <w:szCs w:val="19"/>
              </w:rPr>
              <w:t>By design. Stays empty.</w:t>
            </w:r>
          </w:p>
        </w:tc>
      </w:tr>
      <w:tr w:rsidR="00B2302E" w14:paraId="5016E1AF" w14:textId="77777777">
        <w:tblPrEx>
          <w:tblCellMar>
            <w:top w:w="0" w:type="dxa"/>
            <w:bottom w:w="0" w:type="dxa"/>
          </w:tblCellMar>
        </w:tblPrEx>
        <w:tc>
          <w:tcPr>
            <w:tcW w:w="9360" w:type="dxa"/>
            <w:gridSpan w:val="3"/>
            <w:shd w:val="clear" w:color="auto" w:fill="EFE9DC"/>
            <w:tcMar>
              <w:top w:w="100" w:type="dxa"/>
              <w:left w:w="160" w:type="dxa"/>
              <w:bottom w:w="100" w:type="dxa"/>
              <w:right w:w="160" w:type="dxa"/>
            </w:tcMar>
          </w:tcPr>
          <w:p w14:paraId="5016E1AE" w14:textId="77777777" w:rsidR="00B2302E" w:rsidRDefault="00000000">
            <w:r>
              <w:rPr>
                <w:color w:val="3A3A3A"/>
                <w:sz w:val="20"/>
                <w:szCs w:val="20"/>
              </w:rPr>
              <w:t>The number that matters most: 52 deals have been Won in 2026, and zero of them carry channel attribution. Every closed-won to date predates or bypassed the web door. The first fully attributed closed-won — the first time revenue can be traced to a specific campaign — is still ahead, and is now unblocked.</w:t>
            </w:r>
          </w:p>
        </w:tc>
      </w:tr>
    </w:tbl>
    <w:p w14:paraId="5016E1B0" w14:textId="77777777" w:rsidR="00B2302E" w:rsidRDefault="00000000">
      <w:pPr>
        <w:pStyle w:val="Heading1"/>
        <w:spacing w:before="280" w:after="140"/>
      </w:pPr>
      <w:r>
        <w:rPr>
          <w:b/>
          <w:bCs/>
          <w:color w:val="1F3A5F"/>
          <w:sz w:val="30"/>
          <w:szCs w:val="30"/>
        </w:rPr>
        <w:t>1. The principle</w:t>
      </w:r>
    </w:p>
    <w:p w14:paraId="5016E1B1" w14:textId="77777777" w:rsidR="00B2302E" w:rsidRDefault="00000000">
      <w:pPr>
        <w:spacing w:after="120"/>
      </w:pPr>
      <w:r>
        <w:rPr>
          <w:color w:val="222222"/>
        </w:rPr>
        <w:t>Every lead — whether it comes from an email click, a paid ad, a creator link, a QR code on a printed asset, an inbound phone call, or a rep entering it by hand — needs the same questions answered:</w:t>
      </w:r>
    </w:p>
    <w:p w14:paraId="5016E1B2" w14:textId="77777777" w:rsidR="00B2302E" w:rsidRDefault="00000000">
      <w:pPr>
        <w:spacing w:after="120"/>
      </w:pPr>
      <w:r>
        <w:rPr>
          <w:color w:val="222222"/>
        </w:rPr>
        <w:t>• What channel drove it? (the funded motion — what we budget against)</w:t>
      </w:r>
    </w:p>
    <w:p w14:paraId="5016E1B3" w14:textId="77777777" w:rsidR="00B2302E" w:rsidRDefault="00000000">
      <w:pPr>
        <w:spacing w:after="120"/>
      </w:pPr>
      <w:r>
        <w:rPr>
          <w:color w:val="222222"/>
        </w:rPr>
        <w:t>• What specific campaign? (the granular instance — the ROI / payout key)</w:t>
      </w:r>
    </w:p>
    <w:p w14:paraId="5016E1B4" w14:textId="77777777" w:rsidR="00B2302E" w:rsidRDefault="00000000">
      <w:pPr>
        <w:spacing w:after="120"/>
      </w:pPr>
      <w:r>
        <w:rPr>
          <w:color w:val="222222"/>
        </w:rPr>
        <w:t>• What format or medium delivered it?</w:t>
      </w:r>
    </w:p>
    <w:p w14:paraId="5016E1B5" w14:textId="77777777" w:rsidR="00B2302E" w:rsidRDefault="00000000">
      <w:pPr>
        <w:spacing w:after="120"/>
      </w:pPr>
      <w:r>
        <w:rPr>
          <w:color w:val="222222"/>
        </w:rPr>
        <w:t>• What door did it physically enter through?</w:t>
      </w:r>
    </w:p>
    <w:p w14:paraId="5016E1B6" w14:textId="77777777" w:rsidR="00B2302E" w:rsidRDefault="00000000">
      <w:pPr>
        <w:spacing w:after="120"/>
      </w:pPr>
      <w:r>
        <w:rPr>
          <w:color w:val="222222"/>
        </w:rPr>
        <w:t>• What originated the lead, if different from what converted it?</w:t>
      </w:r>
    </w:p>
    <w:p w14:paraId="5016E1B7" w14:textId="77777777" w:rsidR="00B2302E" w:rsidRDefault="00000000">
      <w:pPr>
        <w:spacing w:after="120"/>
      </w:pPr>
      <w:r>
        <w:rPr>
          <w:color w:val="222222"/>
        </w:rPr>
        <w:t>The system answers these with a fixed set of CRM fields. Channels differ only in the values they supply and the mechanism that populates them. There are no per-channel special cases in the data model — adding a new channel later means supplying new values, not adding new fields (proven twice now: collateral in August, event in this version).</w:t>
      </w:r>
    </w:p>
    <w:p w14:paraId="5016E1B8" w14:textId="77777777" w:rsidR="00B2302E" w:rsidRDefault="00000000">
      <w:pPr>
        <w:pStyle w:val="Heading1"/>
        <w:spacing w:before="280" w:after="140"/>
      </w:pPr>
      <w:r>
        <w:rPr>
          <w:b/>
          <w:bCs/>
          <w:color w:val="1F3A5F"/>
          <w:sz w:val="30"/>
          <w:szCs w:val="30"/>
        </w:rPr>
        <w:lastRenderedPageBreak/>
        <w:t>2. Current state (as of Aug 26, 2026)</w:t>
      </w:r>
    </w:p>
    <w:p w14:paraId="5016E1B9" w14:textId="77777777" w:rsidR="00B2302E" w:rsidRDefault="00000000">
      <w:pPr>
        <w:pStyle w:val="Heading2"/>
        <w:spacing w:before="200" w:after="100"/>
      </w:pPr>
      <w:r>
        <w:rPr>
          <w:b/>
          <w:bCs/>
          <w:color w:val="1F3A5F"/>
          <w:sz w:val="25"/>
          <w:szCs w:val="25"/>
        </w:rPr>
        <w:t>2a. Live in production</w:t>
      </w:r>
    </w:p>
    <w:p w14:paraId="5016E1BA" w14:textId="77777777" w:rsidR="00B2302E" w:rsidRDefault="00000000">
      <w:pPr>
        <w:spacing w:after="120"/>
      </w:pPr>
      <w:r>
        <w:rPr>
          <w:color w:val="222222"/>
        </w:rPr>
        <w:t>The web door is fully implemented on the Next.js platform serving sell.curbio.com and sell.curbio.com/exp:</w:t>
      </w:r>
    </w:p>
    <w:p w14:paraId="5016E1BB" w14:textId="77777777" w:rsidR="00B2302E" w:rsidRDefault="00000000">
      <w:pPr>
        <w:spacing w:after="120"/>
      </w:pPr>
      <w:r>
        <w:rPr>
          <w:color w:val="222222"/>
        </w:rPr>
        <w:t>• Last-touch capture — UTMs read synchronously on arrival, before the URL strip. Ordering is load-bearing.</w:t>
      </w:r>
    </w:p>
    <w:p w14:paraId="5016E1BC" w14:textId="77777777" w:rsidR="00B2302E" w:rsidRDefault="00000000">
      <w:pPr>
        <w:spacing w:after="120"/>
      </w:pPr>
      <w:r>
        <w:rPr>
          <w:color w:val="222222"/>
        </w:rPr>
        <w:t>• Channel derivation — derived from utm_source against the closed ten-value list, never passed raw.</w:t>
      </w:r>
    </w:p>
    <w:p w14:paraId="5016E1BD" w14:textId="77777777" w:rsidR="00B2302E" w:rsidRDefault="00000000">
      <w:pPr>
        <w:spacing w:after="120"/>
      </w:pPr>
      <w:r>
        <w:rPr>
          <w:color w:val="222222"/>
        </w:rPr>
        <w:t>• First-touch persistence — write-once localStorage, 90-day TTL.</w:t>
      </w:r>
    </w:p>
    <w:p w14:paraId="5016E1BE" w14:textId="77777777" w:rsidR="00B2302E" w:rsidRDefault="00000000">
      <w:pPr>
        <w:spacing w:after="120"/>
      </w:pPr>
      <w:r>
        <w:rPr>
          <w:color w:val="222222"/>
        </w:rPr>
        <w:t>• Corrected payload — as of Aug 26 the outbound keys match the CRM columns exactly (§6). This closes the defect that silenced Origin, LeadSource, and FirstTouchCampaign, and adds UtmContent.</w:t>
      </w:r>
    </w:p>
    <w:p w14:paraId="5016E1BF" w14:textId="77777777" w:rsidR="00B2302E" w:rsidRDefault="00000000">
      <w:pPr>
        <w:spacing w:after="120"/>
      </w:pPr>
      <w:r>
        <w:rPr>
          <w:color w:val="222222"/>
        </w:rPr>
        <w:t>• Durable persistence — every submission written to a durable store before delivery; webhook failure alerts with full payload.</w:t>
      </w:r>
    </w:p>
    <w:p w14:paraId="5016E1C0" w14:textId="77777777" w:rsidR="00B2302E" w:rsidRDefault="00000000">
      <w:pPr>
        <w:spacing w:after="120"/>
      </w:pPr>
      <w:r>
        <w:rPr>
          <w:color w:val="222222"/>
        </w:rPr>
        <w:t>• Non-PII logging — no name, email, phone, or address in the log drain.</w:t>
      </w:r>
    </w:p>
    <w:p w14:paraId="5016E1C1" w14:textId="77777777" w:rsidR="00B2302E" w:rsidRDefault="00000000">
      <w:pPr>
        <w:pStyle w:val="Heading2"/>
        <w:spacing w:before="200" w:after="100"/>
      </w:pPr>
      <w:r>
        <w:rPr>
          <w:b/>
          <w:bCs/>
          <w:color w:val="1F3A5F"/>
          <w:sz w:val="25"/>
          <w:szCs w:val="25"/>
        </w:rPr>
        <w:t>2b. What the CRM stores</w:t>
      </w:r>
    </w:p>
    <w:p w14:paraId="5016E1C2" w14:textId="77777777" w:rsidR="00B2302E" w:rsidRDefault="00000000">
      <w:pPr>
        <w:spacing w:after="120"/>
      </w:pPr>
      <w:r>
        <w:rPr>
          <w:color w:val="222222"/>
        </w:rPr>
        <w:t>The Estimate object carries the columns in §3 and they flow automatically to the Deal. Only ReferralSourceId surfaces in the app; the rest store and carry through, unread downstream. Casing of payload keys is normalised by the intake; key NAMES must match the column exactly — this distinction is the root cause fixed in this version.</w:t>
      </w:r>
    </w:p>
    <w:p w14:paraId="5016E1C3" w14:textId="77777777" w:rsidR="00B2302E" w:rsidRDefault="00000000">
      <w:pPr>
        <w:pStyle w:val="Heading2"/>
        <w:spacing w:before="200" w:after="100"/>
      </w:pPr>
      <w:r>
        <w:rPr>
          <w:b/>
          <w:bCs/>
          <w:color w:val="1F3A5F"/>
          <w:sz w:val="25"/>
          <w:szCs w:val="25"/>
        </w:rPr>
        <w:t>2c. Not built</w:t>
      </w:r>
    </w:p>
    <w:p w14:paraId="5016E1C4" w14:textId="77777777" w:rsidR="00B2302E" w:rsidRDefault="00000000">
      <w:pPr>
        <w:spacing w:after="120"/>
      </w:pPr>
      <w:r>
        <w:rPr>
          <w:color w:val="222222"/>
        </w:rPr>
        <w:t>• Phone door — no call tracking. Inbound calls carry no attribution. Now the gating dependency for the event and direct-mail motions in the 2026 strategy: booths and mailers produce calls, not clicks.</w:t>
      </w:r>
    </w:p>
    <w:p w14:paraId="5016E1C5" w14:textId="77777777" w:rsidR="00B2302E" w:rsidRDefault="00000000">
      <w:pPr>
        <w:spacing w:after="120"/>
      </w:pPr>
      <w:r>
        <w:rPr>
          <w:color w:val="222222"/>
        </w:rPr>
        <w:t>• Manual door — rep-created leads have no enforced channel/campaign selection. Gating for the super-agent mail-then-call motion.</w:t>
      </w:r>
    </w:p>
    <w:p w14:paraId="5016E1C6" w14:textId="77777777" w:rsidR="00B2302E" w:rsidRDefault="00000000">
      <w:pPr>
        <w:spacing w:after="120"/>
      </w:pPr>
      <w:r>
        <w:rPr>
          <w:color w:val="222222"/>
        </w:rPr>
        <w:t>• Inbound email-reply door — live, logs unattributed.</w:t>
      </w:r>
    </w:p>
    <w:p w14:paraId="5016E1C7" w14:textId="77777777" w:rsidR="00B2302E" w:rsidRDefault="00000000">
      <w:pPr>
        <w:spacing w:after="120"/>
      </w:pPr>
      <w:r>
        <w:rPr>
          <w:color w:val="222222"/>
        </w:rPr>
        <w:t>• Dashboard — the report exists (this version's data window); the join to email platform and paid spend does not.</w:t>
      </w:r>
    </w:p>
    <w:p w14:paraId="5016E1C8" w14:textId="77777777" w:rsidR="00B2302E" w:rsidRDefault="00000000">
      <w:pPr>
        <w:spacing w:after="120"/>
      </w:pPr>
      <w:r>
        <w:rPr>
          <w:color w:val="222222"/>
        </w:rPr>
        <w:t>• CRM-side pick-list validation — channel validated in our code only.</w:t>
      </w:r>
    </w:p>
    <w:p w14:paraId="5016E1C9" w14:textId="77777777" w:rsidR="00B2302E" w:rsidRDefault="00000000">
      <w:pPr>
        <w:pStyle w:val="Heading1"/>
        <w:spacing w:before="280" w:after="140"/>
      </w:pPr>
      <w:r>
        <w:rPr>
          <w:b/>
          <w:bCs/>
          <w:color w:val="1F3A5F"/>
          <w:sz w:val="30"/>
          <w:szCs w:val="30"/>
        </w:rPr>
        <w:t>3. The CRM field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776"/>
        <w:gridCol w:w="3335"/>
        <w:gridCol w:w="2499"/>
      </w:tblGrid>
      <w:tr w:rsidR="00B2302E" w14:paraId="5016E1CE" w14:textId="77777777">
        <w:tblPrEx>
          <w:tblCellMar>
            <w:top w:w="0" w:type="dxa"/>
            <w:bottom w:w="0" w:type="dxa"/>
          </w:tblCellMar>
        </w:tblPrEx>
        <w:trPr>
          <w:tblHeader/>
        </w:trPr>
        <w:tc>
          <w:tcPr>
            <w:tcW w:w="1750" w:type="dxa"/>
            <w:shd w:val="clear" w:color="auto" w:fill="1F3A5F"/>
            <w:tcMar>
              <w:top w:w="60" w:type="dxa"/>
              <w:left w:w="100" w:type="dxa"/>
              <w:bottom w:w="60" w:type="dxa"/>
              <w:right w:w="100" w:type="dxa"/>
            </w:tcMar>
          </w:tcPr>
          <w:p w14:paraId="5016E1CA" w14:textId="77777777" w:rsidR="00B2302E" w:rsidRDefault="00000000">
            <w:r>
              <w:rPr>
                <w:b/>
                <w:bCs/>
                <w:color w:val="FFFFFF"/>
                <w:sz w:val="19"/>
                <w:szCs w:val="19"/>
              </w:rPr>
              <w:t>Concept</w:t>
            </w:r>
          </w:p>
        </w:tc>
        <w:tc>
          <w:tcPr>
            <w:tcW w:w="1750" w:type="dxa"/>
            <w:shd w:val="clear" w:color="auto" w:fill="1F3A5F"/>
            <w:tcMar>
              <w:top w:w="60" w:type="dxa"/>
              <w:left w:w="100" w:type="dxa"/>
              <w:bottom w:w="60" w:type="dxa"/>
              <w:right w:w="100" w:type="dxa"/>
            </w:tcMar>
          </w:tcPr>
          <w:p w14:paraId="5016E1CB" w14:textId="77777777" w:rsidR="00B2302E" w:rsidRDefault="00000000">
            <w:r>
              <w:rPr>
                <w:b/>
                <w:bCs/>
                <w:color w:val="FFFFFF"/>
                <w:sz w:val="19"/>
                <w:szCs w:val="19"/>
              </w:rPr>
              <w:t>CRM column</w:t>
            </w:r>
          </w:p>
        </w:tc>
        <w:tc>
          <w:tcPr>
            <w:tcW w:w="3350" w:type="dxa"/>
            <w:shd w:val="clear" w:color="auto" w:fill="1F3A5F"/>
            <w:tcMar>
              <w:top w:w="60" w:type="dxa"/>
              <w:left w:w="100" w:type="dxa"/>
              <w:bottom w:w="60" w:type="dxa"/>
              <w:right w:w="100" w:type="dxa"/>
            </w:tcMar>
          </w:tcPr>
          <w:p w14:paraId="5016E1CC" w14:textId="77777777" w:rsidR="00B2302E" w:rsidRDefault="00000000">
            <w:r>
              <w:rPr>
                <w:b/>
                <w:bCs/>
                <w:color w:val="FFFFFF"/>
                <w:sz w:val="19"/>
                <w:szCs w:val="19"/>
              </w:rPr>
              <w:t>Values</w:t>
            </w:r>
          </w:p>
        </w:tc>
        <w:tc>
          <w:tcPr>
            <w:tcW w:w="2510" w:type="dxa"/>
            <w:shd w:val="clear" w:color="auto" w:fill="1F3A5F"/>
            <w:tcMar>
              <w:top w:w="60" w:type="dxa"/>
              <w:left w:w="100" w:type="dxa"/>
              <w:bottom w:w="60" w:type="dxa"/>
              <w:right w:w="100" w:type="dxa"/>
            </w:tcMar>
          </w:tcPr>
          <w:p w14:paraId="5016E1CD" w14:textId="77777777" w:rsidR="00B2302E" w:rsidRDefault="00000000">
            <w:r>
              <w:rPr>
                <w:b/>
                <w:bCs/>
                <w:color w:val="FFFFFF"/>
                <w:sz w:val="19"/>
                <w:szCs w:val="19"/>
              </w:rPr>
              <w:t>Constraint</w:t>
            </w:r>
          </w:p>
        </w:tc>
      </w:tr>
      <w:tr w:rsidR="00B2302E" w14:paraId="5016E1D3" w14:textId="77777777">
        <w:tblPrEx>
          <w:tblCellMar>
            <w:top w:w="0" w:type="dxa"/>
            <w:bottom w:w="0" w:type="dxa"/>
          </w:tblCellMar>
        </w:tblPrEx>
        <w:tc>
          <w:tcPr>
            <w:tcW w:w="1750" w:type="dxa"/>
            <w:tcMar>
              <w:top w:w="60" w:type="dxa"/>
              <w:left w:w="100" w:type="dxa"/>
              <w:bottom w:w="60" w:type="dxa"/>
              <w:right w:w="100" w:type="dxa"/>
            </w:tcMar>
          </w:tcPr>
          <w:p w14:paraId="5016E1CF" w14:textId="77777777" w:rsidR="00B2302E" w:rsidRDefault="00000000">
            <w:r>
              <w:rPr>
                <w:color w:val="222222"/>
                <w:sz w:val="19"/>
                <w:szCs w:val="19"/>
              </w:rPr>
              <w:t>channel</w:t>
            </w:r>
          </w:p>
        </w:tc>
        <w:tc>
          <w:tcPr>
            <w:tcW w:w="1750" w:type="dxa"/>
            <w:tcMar>
              <w:top w:w="60" w:type="dxa"/>
              <w:left w:w="100" w:type="dxa"/>
              <w:bottom w:w="60" w:type="dxa"/>
              <w:right w:w="100" w:type="dxa"/>
            </w:tcMar>
          </w:tcPr>
          <w:p w14:paraId="5016E1D0" w14:textId="77777777" w:rsidR="00B2302E" w:rsidRDefault="00000000">
            <w:r>
              <w:rPr>
                <w:color w:val="222222"/>
                <w:sz w:val="19"/>
                <w:szCs w:val="19"/>
              </w:rPr>
              <w:t>Channel</w:t>
            </w:r>
          </w:p>
        </w:tc>
        <w:tc>
          <w:tcPr>
            <w:tcW w:w="3350" w:type="dxa"/>
            <w:tcMar>
              <w:top w:w="60" w:type="dxa"/>
              <w:left w:w="100" w:type="dxa"/>
              <w:bottom w:w="60" w:type="dxa"/>
              <w:right w:w="100" w:type="dxa"/>
            </w:tcMar>
          </w:tcPr>
          <w:p w14:paraId="5016E1D1" w14:textId="77777777" w:rsidR="00B2302E" w:rsidRDefault="00000000">
            <w:r>
              <w:rPr>
                <w:color w:val="222222"/>
                <w:sz w:val="19"/>
                <w:szCs w:val="19"/>
              </w:rPr>
              <w:t>email, paid_search, paid_social, creator, hsm_field, partnership, organic, referral, direct, event</w:t>
            </w:r>
          </w:p>
        </w:tc>
        <w:tc>
          <w:tcPr>
            <w:tcW w:w="2510" w:type="dxa"/>
            <w:tcMar>
              <w:top w:w="60" w:type="dxa"/>
              <w:left w:w="100" w:type="dxa"/>
              <w:bottom w:w="60" w:type="dxa"/>
              <w:right w:w="100" w:type="dxa"/>
            </w:tcMar>
          </w:tcPr>
          <w:p w14:paraId="5016E1D2" w14:textId="77777777" w:rsidR="00B2302E" w:rsidRDefault="00000000">
            <w:r>
              <w:rPr>
                <w:color w:val="222222"/>
                <w:sz w:val="19"/>
                <w:szCs w:val="19"/>
              </w:rPr>
              <w:t>Closed list (ten values). Required. Derived, never raw. mail reserved for the direct-mail launch.</w:t>
            </w:r>
          </w:p>
        </w:tc>
      </w:tr>
      <w:tr w:rsidR="00B2302E" w14:paraId="5016E1D8" w14:textId="77777777">
        <w:tblPrEx>
          <w:tblCellMar>
            <w:top w:w="0" w:type="dxa"/>
            <w:bottom w:w="0" w:type="dxa"/>
          </w:tblCellMar>
        </w:tblPrEx>
        <w:tc>
          <w:tcPr>
            <w:tcW w:w="1750" w:type="dxa"/>
            <w:tcMar>
              <w:top w:w="60" w:type="dxa"/>
              <w:left w:w="100" w:type="dxa"/>
              <w:bottom w:w="60" w:type="dxa"/>
              <w:right w:w="100" w:type="dxa"/>
            </w:tcMar>
          </w:tcPr>
          <w:p w14:paraId="5016E1D4" w14:textId="77777777" w:rsidR="00B2302E" w:rsidRDefault="00000000">
            <w:r>
              <w:rPr>
                <w:color w:val="222222"/>
                <w:sz w:val="19"/>
                <w:szCs w:val="19"/>
              </w:rPr>
              <w:t>campaign</w:t>
            </w:r>
          </w:p>
        </w:tc>
        <w:tc>
          <w:tcPr>
            <w:tcW w:w="1750" w:type="dxa"/>
            <w:tcMar>
              <w:top w:w="60" w:type="dxa"/>
              <w:left w:w="100" w:type="dxa"/>
              <w:bottom w:w="60" w:type="dxa"/>
              <w:right w:w="100" w:type="dxa"/>
            </w:tcMar>
          </w:tcPr>
          <w:p w14:paraId="5016E1D5" w14:textId="77777777" w:rsidR="00B2302E" w:rsidRDefault="00000000">
            <w:r>
              <w:rPr>
                <w:color w:val="222222"/>
                <w:sz w:val="19"/>
                <w:szCs w:val="19"/>
              </w:rPr>
              <w:t>UtmCampaign</w:t>
            </w:r>
          </w:p>
        </w:tc>
        <w:tc>
          <w:tcPr>
            <w:tcW w:w="3350" w:type="dxa"/>
            <w:tcMar>
              <w:top w:w="60" w:type="dxa"/>
              <w:left w:w="100" w:type="dxa"/>
              <w:bottom w:w="60" w:type="dxa"/>
              <w:right w:w="100" w:type="dxa"/>
            </w:tcMar>
          </w:tcPr>
          <w:p w14:paraId="5016E1D6" w14:textId="77777777" w:rsidR="00B2302E" w:rsidRDefault="00000000">
            <w:r>
              <w:rPr>
                <w:color w:val="222222"/>
                <w:sz w:val="19"/>
                <w:szCs w:val="19"/>
              </w:rPr>
              <w:t>nurture-payatclosing-jun, cold-personalanalysis-oct, expcon-booth-oct</w:t>
            </w:r>
          </w:p>
        </w:tc>
        <w:tc>
          <w:tcPr>
            <w:tcW w:w="2510" w:type="dxa"/>
            <w:tcMar>
              <w:top w:w="60" w:type="dxa"/>
              <w:left w:w="100" w:type="dxa"/>
              <w:bottom w:w="60" w:type="dxa"/>
              <w:right w:w="100" w:type="dxa"/>
            </w:tcMar>
          </w:tcPr>
          <w:p w14:paraId="5016E1D7" w14:textId="77777777" w:rsidR="00B2302E" w:rsidRDefault="00000000">
            <w:r>
              <w:rPr>
                <w:color w:val="222222"/>
                <w:sz w:val="19"/>
                <w:szCs w:val="19"/>
              </w:rPr>
              <w:t>Text, §7 convention. Nullable.</w:t>
            </w:r>
          </w:p>
        </w:tc>
      </w:tr>
      <w:tr w:rsidR="00B2302E" w14:paraId="5016E1DD" w14:textId="77777777">
        <w:tblPrEx>
          <w:tblCellMar>
            <w:top w:w="0" w:type="dxa"/>
            <w:bottom w:w="0" w:type="dxa"/>
          </w:tblCellMar>
        </w:tblPrEx>
        <w:tc>
          <w:tcPr>
            <w:tcW w:w="1750" w:type="dxa"/>
            <w:tcMar>
              <w:top w:w="60" w:type="dxa"/>
              <w:left w:w="100" w:type="dxa"/>
              <w:bottom w:w="60" w:type="dxa"/>
              <w:right w:w="100" w:type="dxa"/>
            </w:tcMar>
          </w:tcPr>
          <w:p w14:paraId="5016E1D9" w14:textId="77777777" w:rsidR="00B2302E" w:rsidRDefault="00000000">
            <w:r>
              <w:rPr>
                <w:color w:val="222222"/>
                <w:sz w:val="19"/>
                <w:szCs w:val="19"/>
              </w:rPr>
              <w:t>medium</w:t>
            </w:r>
          </w:p>
        </w:tc>
        <w:tc>
          <w:tcPr>
            <w:tcW w:w="1750" w:type="dxa"/>
            <w:tcMar>
              <w:top w:w="60" w:type="dxa"/>
              <w:left w:w="100" w:type="dxa"/>
              <w:bottom w:w="60" w:type="dxa"/>
              <w:right w:w="100" w:type="dxa"/>
            </w:tcMar>
          </w:tcPr>
          <w:p w14:paraId="5016E1DA" w14:textId="77777777" w:rsidR="00B2302E" w:rsidRDefault="00000000">
            <w:r>
              <w:rPr>
                <w:color w:val="222222"/>
                <w:sz w:val="19"/>
                <w:szCs w:val="19"/>
              </w:rPr>
              <w:t>UtmMedium</w:t>
            </w:r>
          </w:p>
        </w:tc>
        <w:tc>
          <w:tcPr>
            <w:tcW w:w="3350" w:type="dxa"/>
            <w:tcMar>
              <w:top w:w="60" w:type="dxa"/>
              <w:left w:w="100" w:type="dxa"/>
              <w:bottom w:w="60" w:type="dxa"/>
              <w:right w:w="100" w:type="dxa"/>
            </w:tcMar>
          </w:tcPr>
          <w:p w14:paraId="5016E1DB" w14:textId="77777777" w:rsidR="00B2302E" w:rsidRDefault="00000000">
            <w:r>
              <w:rPr>
                <w:color w:val="222222"/>
                <w:sz w:val="19"/>
                <w:szCs w:val="19"/>
              </w:rPr>
              <w:t>e, cpc, social, print, qr, collateral</w:t>
            </w:r>
          </w:p>
        </w:tc>
        <w:tc>
          <w:tcPr>
            <w:tcW w:w="2510" w:type="dxa"/>
            <w:tcMar>
              <w:top w:w="60" w:type="dxa"/>
              <w:left w:w="100" w:type="dxa"/>
              <w:bottom w:w="60" w:type="dxa"/>
              <w:right w:w="100" w:type="dxa"/>
            </w:tcMar>
          </w:tcPr>
          <w:p w14:paraId="5016E1DC" w14:textId="77777777" w:rsidR="00B2302E" w:rsidRDefault="00000000">
            <w:r>
              <w:rPr>
                <w:color w:val="222222"/>
                <w:sz w:val="19"/>
                <w:szCs w:val="19"/>
              </w:rPr>
              <w:t>Nullable.</w:t>
            </w:r>
          </w:p>
        </w:tc>
      </w:tr>
      <w:tr w:rsidR="00B2302E" w14:paraId="5016E1E2" w14:textId="77777777">
        <w:tblPrEx>
          <w:tblCellMar>
            <w:top w:w="0" w:type="dxa"/>
            <w:bottom w:w="0" w:type="dxa"/>
          </w:tblCellMar>
        </w:tblPrEx>
        <w:tc>
          <w:tcPr>
            <w:tcW w:w="1750" w:type="dxa"/>
            <w:tcMar>
              <w:top w:w="60" w:type="dxa"/>
              <w:left w:w="100" w:type="dxa"/>
              <w:bottom w:w="60" w:type="dxa"/>
              <w:right w:w="100" w:type="dxa"/>
            </w:tcMar>
          </w:tcPr>
          <w:p w14:paraId="5016E1DE" w14:textId="77777777" w:rsidR="00B2302E" w:rsidRDefault="00000000">
            <w:r>
              <w:rPr>
                <w:color w:val="222222"/>
                <w:sz w:val="19"/>
                <w:szCs w:val="19"/>
              </w:rPr>
              <w:t>entryPoint</w:t>
            </w:r>
          </w:p>
        </w:tc>
        <w:tc>
          <w:tcPr>
            <w:tcW w:w="1750" w:type="dxa"/>
            <w:tcMar>
              <w:top w:w="60" w:type="dxa"/>
              <w:left w:w="100" w:type="dxa"/>
              <w:bottom w:w="60" w:type="dxa"/>
              <w:right w:w="100" w:type="dxa"/>
            </w:tcMar>
          </w:tcPr>
          <w:p w14:paraId="5016E1DF" w14:textId="77777777" w:rsidR="00B2302E" w:rsidRDefault="00000000">
            <w:r>
              <w:rPr>
                <w:color w:val="222222"/>
                <w:sz w:val="19"/>
                <w:szCs w:val="19"/>
              </w:rPr>
              <w:t>Origin</w:t>
            </w:r>
          </w:p>
        </w:tc>
        <w:tc>
          <w:tcPr>
            <w:tcW w:w="3350" w:type="dxa"/>
            <w:tcMar>
              <w:top w:w="60" w:type="dxa"/>
              <w:left w:w="100" w:type="dxa"/>
              <w:bottom w:w="60" w:type="dxa"/>
              <w:right w:w="100" w:type="dxa"/>
            </w:tcMar>
          </w:tcPr>
          <w:p w14:paraId="5016E1E0" w14:textId="77777777" w:rsidR="00B2302E" w:rsidRDefault="00000000">
            <w:r>
              <w:rPr>
                <w:color w:val="222222"/>
                <w:sz w:val="19"/>
                <w:szCs w:val="19"/>
              </w:rPr>
              <w:t>web_form, phone, manual, inbound_email</w:t>
            </w:r>
          </w:p>
        </w:tc>
        <w:tc>
          <w:tcPr>
            <w:tcW w:w="2510" w:type="dxa"/>
            <w:tcMar>
              <w:top w:w="60" w:type="dxa"/>
              <w:left w:w="100" w:type="dxa"/>
              <w:bottom w:w="60" w:type="dxa"/>
              <w:right w:w="100" w:type="dxa"/>
            </w:tcMar>
          </w:tcPr>
          <w:p w14:paraId="5016E1E1" w14:textId="77777777" w:rsidR="00B2302E" w:rsidRDefault="00000000">
            <w:r>
              <w:rPr>
                <w:color w:val="222222"/>
                <w:sz w:val="19"/>
                <w:szCs w:val="19"/>
              </w:rPr>
              <w:t>Required. Set by the door that creates the lead.</w:t>
            </w:r>
          </w:p>
        </w:tc>
      </w:tr>
      <w:tr w:rsidR="00B2302E" w14:paraId="5016E1E7" w14:textId="77777777">
        <w:tblPrEx>
          <w:tblCellMar>
            <w:top w:w="0" w:type="dxa"/>
            <w:bottom w:w="0" w:type="dxa"/>
          </w:tblCellMar>
        </w:tblPrEx>
        <w:tc>
          <w:tcPr>
            <w:tcW w:w="1750" w:type="dxa"/>
            <w:tcMar>
              <w:top w:w="60" w:type="dxa"/>
              <w:left w:w="100" w:type="dxa"/>
              <w:bottom w:w="60" w:type="dxa"/>
              <w:right w:w="100" w:type="dxa"/>
            </w:tcMar>
          </w:tcPr>
          <w:p w14:paraId="5016E1E3" w14:textId="77777777" w:rsidR="00B2302E" w:rsidRDefault="00000000">
            <w:r>
              <w:rPr>
                <w:color w:val="222222"/>
                <w:sz w:val="19"/>
                <w:szCs w:val="19"/>
              </w:rPr>
              <w:lastRenderedPageBreak/>
              <w:t>firstTouchChannel</w:t>
            </w:r>
          </w:p>
        </w:tc>
        <w:tc>
          <w:tcPr>
            <w:tcW w:w="1750" w:type="dxa"/>
            <w:tcMar>
              <w:top w:w="60" w:type="dxa"/>
              <w:left w:w="100" w:type="dxa"/>
              <w:bottom w:w="60" w:type="dxa"/>
              <w:right w:w="100" w:type="dxa"/>
            </w:tcMar>
          </w:tcPr>
          <w:p w14:paraId="5016E1E4" w14:textId="77777777" w:rsidR="00B2302E" w:rsidRDefault="00000000">
            <w:r>
              <w:rPr>
                <w:color w:val="222222"/>
                <w:sz w:val="19"/>
                <w:szCs w:val="19"/>
              </w:rPr>
              <w:t>LeadSource</w:t>
            </w:r>
          </w:p>
        </w:tc>
        <w:tc>
          <w:tcPr>
            <w:tcW w:w="3350" w:type="dxa"/>
            <w:tcMar>
              <w:top w:w="60" w:type="dxa"/>
              <w:left w:w="100" w:type="dxa"/>
              <w:bottom w:w="60" w:type="dxa"/>
              <w:right w:w="100" w:type="dxa"/>
            </w:tcMar>
          </w:tcPr>
          <w:p w14:paraId="5016E1E5" w14:textId="77777777" w:rsidR="00B2302E" w:rsidRDefault="00000000">
            <w:r>
              <w:rPr>
                <w:color w:val="222222"/>
                <w:sz w:val="19"/>
                <w:szCs w:val="19"/>
              </w:rPr>
              <w:t>same value set as channel</w:t>
            </w:r>
          </w:p>
        </w:tc>
        <w:tc>
          <w:tcPr>
            <w:tcW w:w="2510" w:type="dxa"/>
            <w:tcMar>
              <w:top w:w="60" w:type="dxa"/>
              <w:left w:w="100" w:type="dxa"/>
              <w:bottom w:w="60" w:type="dxa"/>
              <w:right w:w="100" w:type="dxa"/>
            </w:tcMar>
          </w:tcPr>
          <w:p w14:paraId="5016E1E6" w14:textId="77777777" w:rsidR="00B2302E" w:rsidRDefault="00000000">
            <w:r>
              <w:rPr>
                <w:color w:val="222222"/>
                <w:sz w:val="19"/>
                <w:szCs w:val="19"/>
              </w:rPr>
              <w:t>Write-once. Nullable. Legacy writers still colliding — see data window.</w:t>
            </w:r>
          </w:p>
        </w:tc>
      </w:tr>
      <w:tr w:rsidR="00B2302E" w14:paraId="5016E1EC" w14:textId="77777777">
        <w:tblPrEx>
          <w:tblCellMar>
            <w:top w:w="0" w:type="dxa"/>
            <w:bottom w:w="0" w:type="dxa"/>
          </w:tblCellMar>
        </w:tblPrEx>
        <w:tc>
          <w:tcPr>
            <w:tcW w:w="1750" w:type="dxa"/>
            <w:tcMar>
              <w:top w:w="60" w:type="dxa"/>
              <w:left w:w="100" w:type="dxa"/>
              <w:bottom w:w="60" w:type="dxa"/>
              <w:right w:w="100" w:type="dxa"/>
            </w:tcMar>
          </w:tcPr>
          <w:p w14:paraId="5016E1E8" w14:textId="77777777" w:rsidR="00B2302E" w:rsidRDefault="00000000">
            <w:r>
              <w:rPr>
                <w:color w:val="222222"/>
                <w:sz w:val="19"/>
                <w:szCs w:val="19"/>
              </w:rPr>
              <w:t>firstTouchCampaign</w:t>
            </w:r>
          </w:p>
        </w:tc>
        <w:tc>
          <w:tcPr>
            <w:tcW w:w="1750" w:type="dxa"/>
            <w:tcMar>
              <w:top w:w="60" w:type="dxa"/>
              <w:left w:w="100" w:type="dxa"/>
              <w:bottom w:w="60" w:type="dxa"/>
              <w:right w:w="100" w:type="dxa"/>
            </w:tcMar>
          </w:tcPr>
          <w:p w14:paraId="5016E1E9" w14:textId="77777777" w:rsidR="00B2302E" w:rsidRDefault="00000000">
            <w:r>
              <w:rPr>
                <w:color w:val="222222"/>
                <w:sz w:val="19"/>
                <w:szCs w:val="19"/>
              </w:rPr>
              <w:t>FirstTouchCampaign</w:t>
            </w:r>
          </w:p>
        </w:tc>
        <w:tc>
          <w:tcPr>
            <w:tcW w:w="3350" w:type="dxa"/>
            <w:tcMar>
              <w:top w:w="60" w:type="dxa"/>
              <w:left w:w="100" w:type="dxa"/>
              <w:bottom w:w="60" w:type="dxa"/>
              <w:right w:w="100" w:type="dxa"/>
            </w:tcMar>
          </w:tcPr>
          <w:p w14:paraId="5016E1EA" w14:textId="77777777" w:rsidR="00B2302E" w:rsidRDefault="00000000">
            <w:r>
              <w:rPr>
                <w:color w:val="222222"/>
                <w:sz w:val="19"/>
                <w:szCs w:val="19"/>
              </w:rPr>
              <w:t>same convention as campaign</w:t>
            </w:r>
          </w:p>
        </w:tc>
        <w:tc>
          <w:tcPr>
            <w:tcW w:w="2510" w:type="dxa"/>
            <w:tcMar>
              <w:top w:w="60" w:type="dxa"/>
              <w:left w:w="100" w:type="dxa"/>
              <w:bottom w:w="60" w:type="dxa"/>
              <w:right w:w="100" w:type="dxa"/>
            </w:tcMar>
          </w:tcPr>
          <w:p w14:paraId="5016E1EB" w14:textId="77777777" w:rsidR="00B2302E" w:rsidRDefault="00000000">
            <w:r>
              <w:rPr>
                <w:color w:val="222222"/>
                <w:sz w:val="19"/>
                <w:szCs w:val="19"/>
              </w:rPr>
              <w:t>Write-once. Nullable.</w:t>
            </w:r>
          </w:p>
        </w:tc>
      </w:tr>
      <w:tr w:rsidR="00B2302E" w14:paraId="5016E1F1" w14:textId="77777777">
        <w:tblPrEx>
          <w:tblCellMar>
            <w:top w:w="0" w:type="dxa"/>
            <w:bottom w:w="0" w:type="dxa"/>
          </w:tblCellMar>
        </w:tblPrEx>
        <w:tc>
          <w:tcPr>
            <w:tcW w:w="1750" w:type="dxa"/>
            <w:tcMar>
              <w:top w:w="60" w:type="dxa"/>
              <w:left w:w="100" w:type="dxa"/>
              <w:bottom w:w="60" w:type="dxa"/>
              <w:right w:w="100" w:type="dxa"/>
            </w:tcMar>
          </w:tcPr>
          <w:p w14:paraId="5016E1ED" w14:textId="77777777" w:rsidR="00B2302E" w:rsidRDefault="00000000">
            <w:r>
              <w:rPr>
                <w:color w:val="222222"/>
                <w:sz w:val="19"/>
                <w:szCs w:val="19"/>
              </w:rPr>
              <w:t>variant / creative</w:t>
            </w:r>
          </w:p>
        </w:tc>
        <w:tc>
          <w:tcPr>
            <w:tcW w:w="1750" w:type="dxa"/>
            <w:tcMar>
              <w:top w:w="60" w:type="dxa"/>
              <w:left w:w="100" w:type="dxa"/>
              <w:bottom w:w="60" w:type="dxa"/>
              <w:right w:w="100" w:type="dxa"/>
            </w:tcMar>
          </w:tcPr>
          <w:p w14:paraId="5016E1EE" w14:textId="77777777" w:rsidR="00B2302E" w:rsidRDefault="00000000">
            <w:r>
              <w:rPr>
                <w:color w:val="222222"/>
                <w:sz w:val="19"/>
                <w:szCs w:val="19"/>
              </w:rPr>
              <w:t>UtmContent</w:t>
            </w:r>
          </w:p>
        </w:tc>
        <w:tc>
          <w:tcPr>
            <w:tcW w:w="3350" w:type="dxa"/>
            <w:tcMar>
              <w:top w:w="60" w:type="dxa"/>
              <w:left w:w="100" w:type="dxa"/>
              <w:bottom w:w="60" w:type="dxa"/>
              <w:right w:w="100" w:type="dxa"/>
            </w:tcMar>
          </w:tcPr>
          <w:p w14:paraId="5016E1EF" w14:textId="77777777" w:rsidR="00B2302E" w:rsidRDefault="00000000">
            <w:r>
              <w:rPr>
                <w:color w:val="222222"/>
                <w:sz w:val="19"/>
                <w:szCs w:val="19"/>
              </w:rPr>
              <w:t>control, treatment, creative ids</w:t>
            </w:r>
          </w:p>
        </w:tc>
        <w:tc>
          <w:tcPr>
            <w:tcW w:w="2510" w:type="dxa"/>
            <w:tcMar>
              <w:top w:w="60" w:type="dxa"/>
              <w:left w:w="100" w:type="dxa"/>
              <w:bottom w:w="60" w:type="dxa"/>
              <w:right w:w="100" w:type="dxa"/>
            </w:tcMar>
          </w:tcPr>
          <w:p w14:paraId="5016E1F0" w14:textId="77777777" w:rsidR="00B2302E" w:rsidRDefault="00000000">
            <w:r>
              <w:rPr>
                <w:color w:val="222222"/>
                <w:sz w:val="19"/>
                <w:szCs w:val="19"/>
              </w:rPr>
              <w:t>Nullable.</w:t>
            </w:r>
          </w:p>
        </w:tc>
      </w:tr>
      <w:tr w:rsidR="00B2302E" w14:paraId="5016E1F6" w14:textId="77777777">
        <w:tblPrEx>
          <w:tblCellMar>
            <w:top w:w="0" w:type="dxa"/>
            <w:bottom w:w="0" w:type="dxa"/>
          </w:tblCellMar>
        </w:tblPrEx>
        <w:tc>
          <w:tcPr>
            <w:tcW w:w="1750" w:type="dxa"/>
            <w:tcMar>
              <w:top w:w="60" w:type="dxa"/>
              <w:left w:w="100" w:type="dxa"/>
              <w:bottom w:w="60" w:type="dxa"/>
              <w:right w:w="100" w:type="dxa"/>
            </w:tcMar>
          </w:tcPr>
          <w:p w14:paraId="5016E1F2" w14:textId="77777777" w:rsidR="00B2302E" w:rsidRDefault="00000000">
            <w:r>
              <w:rPr>
                <w:color w:val="222222"/>
                <w:sz w:val="19"/>
                <w:szCs w:val="19"/>
              </w:rPr>
              <w:t>partner</w:t>
            </w:r>
          </w:p>
        </w:tc>
        <w:tc>
          <w:tcPr>
            <w:tcW w:w="1750" w:type="dxa"/>
            <w:tcMar>
              <w:top w:w="60" w:type="dxa"/>
              <w:left w:w="100" w:type="dxa"/>
              <w:bottom w:w="60" w:type="dxa"/>
              <w:right w:w="100" w:type="dxa"/>
            </w:tcMar>
          </w:tcPr>
          <w:p w14:paraId="5016E1F3" w14:textId="77777777" w:rsidR="00B2302E" w:rsidRDefault="00000000">
            <w:r>
              <w:rPr>
                <w:color w:val="222222"/>
                <w:sz w:val="19"/>
                <w:szCs w:val="19"/>
              </w:rPr>
              <w:t>ReferralSourceId</w:t>
            </w:r>
          </w:p>
        </w:tc>
        <w:tc>
          <w:tcPr>
            <w:tcW w:w="3350" w:type="dxa"/>
            <w:tcMar>
              <w:top w:w="60" w:type="dxa"/>
              <w:left w:w="100" w:type="dxa"/>
              <w:bottom w:w="60" w:type="dxa"/>
              <w:right w:w="100" w:type="dxa"/>
            </w:tcMar>
          </w:tcPr>
          <w:p w14:paraId="5016E1F4" w14:textId="77777777" w:rsidR="00B2302E" w:rsidRDefault="00000000">
            <w:r>
              <w:rPr>
                <w:color w:val="222222"/>
                <w:sz w:val="19"/>
                <w:szCs w:val="19"/>
              </w:rPr>
              <w:t>eXp realty, brokerage names</w:t>
            </w:r>
          </w:p>
        </w:tc>
        <w:tc>
          <w:tcPr>
            <w:tcW w:w="2510" w:type="dxa"/>
            <w:tcMar>
              <w:top w:w="60" w:type="dxa"/>
              <w:left w:w="100" w:type="dxa"/>
              <w:bottom w:w="60" w:type="dxa"/>
              <w:right w:w="100" w:type="dxa"/>
            </w:tcMar>
          </w:tcPr>
          <w:p w14:paraId="5016E1F5" w14:textId="77777777" w:rsidR="00B2302E" w:rsidRDefault="00000000">
            <w:r>
              <w:rPr>
                <w:color w:val="222222"/>
                <w:sz w:val="19"/>
                <w:szCs w:val="19"/>
              </w:rPr>
              <w:t>Verbatim, never normalised. Also derives channel = partnership (DECIDED, this version).</w:t>
            </w:r>
          </w:p>
        </w:tc>
      </w:tr>
      <w:tr w:rsidR="00B2302E" w14:paraId="5016E1FB" w14:textId="77777777">
        <w:tblPrEx>
          <w:tblCellMar>
            <w:top w:w="0" w:type="dxa"/>
            <w:bottom w:w="0" w:type="dxa"/>
          </w:tblCellMar>
        </w:tblPrEx>
        <w:tc>
          <w:tcPr>
            <w:tcW w:w="1750" w:type="dxa"/>
            <w:tcMar>
              <w:top w:w="60" w:type="dxa"/>
              <w:left w:w="100" w:type="dxa"/>
              <w:bottom w:w="60" w:type="dxa"/>
              <w:right w:w="100" w:type="dxa"/>
            </w:tcMar>
          </w:tcPr>
          <w:p w14:paraId="5016E1F7" w14:textId="77777777" w:rsidR="00B2302E" w:rsidRDefault="00000000">
            <w:r>
              <w:rPr>
                <w:color w:val="222222"/>
                <w:sz w:val="19"/>
                <w:szCs w:val="19"/>
              </w:rPr>
              <w:t>market</w:t>
            </w:r>
          </w:p>
        </w:tc>
        <w:tc>
          <w:tcPr>
            <w:tcW w:w="1750" w:type="dxa"/>
            <w:tcMar>
              <w:top w:w="60" w:type="dxa"/>
              <w:left w:w="100" w:type="dxa"/>
              <w:bottom w:w="60" w:type="dxa"/>
              <w:right w:w="100" w:type="dxa"/>
            </w:tcMar>
          </w:tcPr>
          <w:p w14:paraId="5016E1F8" w14:textId="77777777" w:rsidR="00B2302E" w:rsidRDefault="00000000">
            <w:r>
              <w:rPr>
                <w:color w:val="222222"/>
                <w:sz w:val="19"/>
                <w:szCs w:val="19"/>
              </w:rPr>
              <w:t>Market</w:t>
            </w:r>
          </w:p>
        </w:tc>
        <w:tc>
          <w:tcPr>
            <w:tcW w:w="3350" w:type="dxa"/>
            <w:tcMar>
              <w:top w:w="60" w:type="dxa"/>
              <w:left w:w="100" w:type="dxa"/>
              <w:bottom w:w="60" w:type="dxa"/>
              <w:right w:w="100" w:type="dxa"/>
            </w:tcMar>
          </w:tcPr>
          <w:p w14:paraId="5016E1F9" w14:textId="77777777" w:rsidR="00B2302E" w:rsidRDefault="00000000">
            <w:r>
              <w:rPr>
                <w:color w:val="222222"/>
                <w:sz w:val="19"/>
                <w:szCs w:val="19"/>
              </w:rPr>
              <w:t>display name from the market configuration</w:t>
            </w:r>
          </w:p>
        </w:tc>
        <w:tc>
          <w:tcPr>
            <w:tcW w:w="2510" w:type="dxa"/>
            <w:tcMar>
              <w:top w:w="60" w:type="dxa"/>
              <w:left w:w="100" w:type="dxa"/>
              <w:bottom w:w="60" w:type="dxa"/>
              <w:right w:w="100" w:type="dxa"/>
            </w:tcMar>
          </w:tcPr>
          <w:p w14:paraId="5016E1FA" w14:textId="77777777" w:rsidR="00B2302E" w:rsidRDefault="00000000">
            <w:r>
              <w:rPr>
                <w:color w:val="222222"/>
                <w:sz w:val="19"/>
                <w:szCs w:val="19"/>
              </w:rPr>
              <w:t>Values NOT enumerated here — the config is the source of truth. CRM maps display names to its own market codes (e.g. Maryland → BAL).</w:t>
            </w:r>
          </w:p>
        </w:tc>
      </w:tr>
    </w:tbl>
    <w:p w14:paraId="5016E1FC" w14:textId="77777777" w:rsidR="00B2302E" w:rsidRDefault="00000000">
      <w:pPr>
        <w:pStyle w:val="Heading2"/>
        <w:spacing w:before="200" w:after="100"/>
      </w:pPr>
      <w:r>
        <w:rPr>
          <w:b/>
          <w:bCs/>
          <w:color w:val="1F3A5F"/>
          <w:sz w:val="25"/>
          <w:szCs w:val="25"/>
        </w:rPr>
        <w:t>3a. PromoCode — reserved, with a named future use</w:t>
      </w:r>
    </w:p>
    <w:p w14:paraId="5016E1FD" w14:textId="77777777" w:rsidR="00B2302E" w:rsidRDefault="00000000">
      <w:pPr>
        <w:spacing w:after="120"/>
      </w:pPr>
      <w:r>
        <w:rPr>
          <w:color w:val="222222"/>
        </w:rPr>
        <w:t>Not used by attribution. Reserved for real promotional codes — now concretely: the creator/affiliate program (Strategy §4) pays per qualified lead against a unique per-creator code, and PromoCode is where that code lands. Before the first creator signs, confirm with engineering that PromoCode flows to the report like the other columns.</w:t>
      </w:r>
    </w:p>
    <w:p w14:paraId="5016E1FE" w14:textId="77777777" w:rsidR="00B2302E" w:rsidRDefault="00000000">
      <w:pPr>
        <w:pStyle w:val="Heading2"/>
        <w:spacing w:before="200" w:after="100"/>
      </w:pPr>
      <w:r>
        <w:rPr>
          <w:b/>
          <w:bCs/>
          <w:color w:val="1F3A5F"/>
          <w:sz w:val="25"/>
          <w:szCs w:val="25"/>
        </w:rPr>
        <w:t>3b. ReferralSourceId — verbatim, never normalised</w:t>
      </w:r>
    </w:p>
    <w:p w14:paraId="5016E1FF" w14:textId="77777777" w:rsidR="00B2302E" w:rsidRDefault="00000000">
      <w:pPr>
        <w:spacing w:after="120"/>
      </w:pPr>
      <w:r>
        <w:rPr>
          <w:color w:val="222222"/>
        </w:rPr>
        <w:t>Values pass through exactly as supplied ("eXp realty"), load-bearing for historical comparability. The open decision in v3.1 is closed: a partner-sourced lead ALSO derives channel = partnership and campaign = partner name, so partner volume appears in channel × market reporting. Interim caveat: non-partner web leads currently fall back to "landing page" in this column (recorded decision, revisit at site relaunch).</w:t>
      </w:r>
    </w:p>
    <w:p w14:paraId="5016E200" w14:textId="77777777" w:rsidR="00B2302E" w:rsidRDefault="00000000">
      <w:pPr>
        <w:pStyle w:val="Heading2"/>
        <w:spacing w:before="200" w:after="100"/>
      </w:pPr>
      <w:r>
        <w:rPr>
          <w:b/>
          <w:bCs/>
          <w:color w:val="1F3A5F"/>
          <w:sz w:val="25"/>
          <w:szCs w:val="25"/>
        </w:rPr>
        <w:t>3c. Channel vs entryPoint</w:t>
      </w:r>
    </w:p>
    <w:p w14:paraId="5016E201" w14:textId="77777777" w:rsidR="00B2302E" w:rsidRDefault="00000000">
      <w:pPr>
        <w:spacing w:after="120"/>
      </w:pPr>
      <w:r>
        <w:rPr>
          <w:color w:val="222222"/>
        </w:rPr>
        <w:t>One channel uses many doors; one door carries many channels. The test: would we change spend based on it? Yes → channel. Plumbing → entryPoint.</w:t>
      </w:r>
    </w:p>
    <w:p w14:paraId="5016E202" w14:textId="77777777" w:rsidR="00B2302E" w:rsidRDefault="00000000">
      <w:pPr>
        <w:pStyle w:val="Heading2"/>
        <w:spacing w:before="200" w:after="100"/>
      </w:pPr>
      <w:r>
        <w:rPr>
          <w:b/>
          <w:bCs/>
          <w:color w:val="1F3A5F"/>
          <w:sz w:val="25"/>
          <w:szCs w:val="25"/>
        </w:rPr>
        <w:t>3d. First-touch vs last-touch</w:t>
      </w:r>
    </w:p>
    <w:p w14:paraId="5016E203" w14:textId="77777777" w:rsidR="00B2302E" w:rsidRDefault="00000000">
      <w:pPr>
        <w:spacing w:after="120"/>
      </w:pPr>
      <w:r>
        <w:rPr>
          <w:color w:val="222222"/>
        </w:rPr>
        <w:t>The channels we most want to grow — creator, field, partnership, events — sit at the top of the funnel and rarely get the final click. channel holds what converted the lead; LeadSource (firstTouchChannel) holds what originated it. Both are needed, side by side, in reporting.</w:t>
      </w:r>
    </w:p>
    <w:p w14:paraId="5016E204" w14:textId="77777777" w:rsidR="00B2302E" w:rsidRDefault="00000000">
      <w:pPr>
        <w:pStyle w:val="Heading1"/>
        <w:spacing w:before="280" w:after="140"/>
      </w:pPr>
      <w:r>
        <w:rPr>
          <w:b/>
          <w:bCs/>
          <w:color w:val="1F3A5F"/>
          <w:sz w:val="30"/>
          <w:szCs w:val="30"/>
        </w:rPr>
        <w:t>4. Channel derivation</w:t>
      </w:r>
    </w:p>
    <w:p w14:paraId="5016E205" w14:textId="77777777" w:rsidR="00B2302E" w:rsidRDefault="00000000">
      <w:pPr>
        <w:spacing w:after="120"/>
      </w:pPr>
      <w:r>
        <w:rPr>
          <w:color w:val="222222"/>
        </w:rPr>
        <w:t>Defined once, in a single shared module imported by client and server. The list must never be defined in two places.</w:t>
      </w:r>
    </w:p>
    <w:p w14:paraId="5016E206" w14:textId="77777777" w:rsidR="00B2302E" w:rsidRDefault="00000000">
      <w:pPr>
        <w:spacing w:after="120"/>
      </w:pPr>
      <w:r>
        <w:rPr>
          <w:color w:val="222222"/>
          <w:sz w:val="19"/>
          <w:szCs w:val="19"/>
        </w:rPr>
        <w:t>VALID_CHANNELS = ["email", "paid_search", "paid_social", "creator", "hsm_field", "partnership", "organic", "referral", "direct", "event"]</w:t>
      </w:r>
    </w:p>
    <w:p w14:paraId="5016E207" w14:textId="77777777" w:rsidR="00B2302E" w:rsidRDefault="00000000">
      <w:pPr>
        <w:spacing w:after="120"/>
      </w:pPr>
      <w:r>
        <w:rPr>
          <w:color w:val="222222"/>
        </w:rPr>
        <w:t>Absent utm_source → "direct" — never null, never "landing page". Unknown utm_source → "direct", raw value retained in UtmSource for audit. "direct" is honestly read as "unattributed".</w:t>
      </w:r>
    </w:p>
    <w:p w14:paraId="5016E208" w14:textId="77777777" w:rsidR="00B2302E" w:rsidRDefault="00000000">
      <w:pPr>
        <w:pStyle w:val="Heading1"/>
        <w:spacing w:before="280" w:after="140"/>
      </w:pPr>
      <w:r>
        <w:rPr>
          <w:b/>
          <w:bCs/>
          <w:color w:val="1F3A5F"/>
          <w:sz w:val="30"/>
          <w:szCs w:val="30"/>
        </w:rPr>
        <w:t>5. Capture mechanisms — four doors, one destination</w:t>
      </w:r>
    </w:p>
    <w:p w14:paraId="5016E209" w14:textId="77777777" w:rsidR="00B2302E" w:rsidRDefault="00000000">
      <w:pPr>
        <w:pStyle w:val="Heading2"/>
        <w:spacing w:before="200" w:after="100"/>
      </w:pPr>
      <w:r>
        <w:rPr>
          <w:b/>
          <w:bCs/>
          <w:color w:val="1F3A5F"/>
          <w:sz w:val="25"/>
          <w:szCs w:val="25"/>
        </w:rPr>
        <w:lastRenderedPageBreak/>
        <w:t>5a. Web form (BUILT)</w:t>
      </w:r>
    </w:p>
    <w:p w14:paraId="5016E20A" w14:textId="77777777" w:rsidR="00B2302E" w:rsidRDefault="00000000">
      <w:pPr>
        <w:spacing w:after="120"/>
      </w:pPr>
      <w:r>
        <w:rPr>
          <w:color w:val="222222"/>
        </w:rPr>
        <w:t>Covers email, paid, creator, event QR, and any tagged link. Attribution capture runs synchronously before the URL strip — any form refactor must preserve this ordering. First-touch: write-once localStorage {channel, campaign, ts}, 90-day TTL; absence is a valid state.</w:t>
      </w:r>
    </w:p>
    <w:p w14:paraId="5016E20B" w14:textId="77777777" w:rsidR="00B2302E" w:rsidRDefault="00000000">
      <w:pPr>
        <w:pStyle w:val="Heading2"/>
        <w:spacing w:before="200" w:after="100"/>
      </w:pPr>
      <w:r>
        <w:rPr>
          <w:b/>
          <w:bCs/>
          <w:color w:val="1F3A5F"/>
          <w:sz w:val="25"/>
          <w:szCs w:val="25"/>
        </w:rPr>
        <w:t>5b. Phone door (NOT BUILT — now gating for events and mail)</w:t>
      </w:r>
    </w:p>
    <w:p w14:paraId="5016E20C" w14:textId="77777777" w:rsidR="00B2302E" w:rsidRDefault="00000000">
      <w:pPr>
        <w:spacing w:after="120"/>
      </w:pPr>
      <w:r>
        <w:rPr>
          <w:color w:val="222222"/>
        </w:rPr>
        <w:t>Attribution comes from the tracking number dialed — one number per channel/campaign placement, whisper to the receptionist, entryPoint = phone. Every booth, brochure, mailer, and print asset produces phone leads; until this exists they all collapse into unattributed phone calls. Interim measure for ExpCon (Oct): a dedicated forwarding number printed only on booth material, hand-counted.</w:t>
      </w:r>
    </w:p>
    <w:p w14:paraId="5016E20D" w14:textId="77777777" w:rsidR="00B2302E" w:rsidRDefault="00000000">
      <w:pPr>
        <w:pStyle w:val="Heading2"/>
        <w:spacing w:before="200" w:after="100"/>
      </w:pPr>
      <w:r>
        <w:rPr>
          <w:b/>
          <w:bCs/>
          <w:color w:val="1F3A5F"/>
          <w:sz w:val="25"/>
          <w:szCs w:val="25"/>
        </w:rPr>
        <w:t>5c. Manual door (NOT BUILT)</w:t>
      </w:r>
    </w:p>
    <w:p w14:paraId="5016E20E" w14:textId="77777777" w:rsidR="00B2302E" w:rsidRDefault="00000000">
      <w:pPr>
        <w:spacing w:after="120"/>
      </w:pPr>
      <w:r>
        <w:rPr>
          <w:color w:val="222222"/>
        </w:rPr>
        <w:t>Rep selects values, pre-defaulted to their channel/campaign; entryPoint = manual. Channel and campaign mandatory on creation. Required for the super-agent motion, where HSMs log meetings by hand.</w:t>
      </w:r>
    </w:p>
    <w:p w14:paraId="5016E20F" w14:textId="77777777" w:rsidR="00B2302E" w:rsidRDefault="00000000">
      <w:pPr>
        <w:pStyle w:val="Heading2"/>
        <w:spacing w:before="200" w:after="100"/>
      </w:pPr>
      <w:r>
        <w:rPr>
          <w:b/>
          <w:bCs/>
          <w:color w:val="1F3A5F"/>
          <w:sz w:val="25"/>
          <w:szCs w:val="25"/>
        </w:rPr>
        <w:t>5d. Inbound email-reply door (LIVE, UNATTRIBUTED)</w:t>
      </w:r>
    </w:p>
    <w:p w14:paraId="5016E210" w14:textId="77777777" w:rsidR="00B2302E" w:rsidRDefault="00000000">
      <w:pPr>
        <w:spacing w:after="120"/>
      </w:pPr>
      <w:r>
        <w:rPr>
          <w:color w:val="222222"/>
        </w:rPr>
        <w:t>channel = email, entryPoint = inbound_email, campaign best-effort from subject line. Today these write the literal strings "Inbound Email" into UtmSource/UtmMedium and the sender's raw address into LeadSource — visible in the data window, and the concrete proof that LeadSource cannot be trusted until legacy writers are re-pointed.</w:t>
      </w:r>
    </w:p>
    <w:p w14:paraId="5016E211" w14:textId="77777777" w:rsidR="00B2302E" w:rsidRDefault="00000000">
      <w:pPr>
        <w:pStyle w:val="Heading1"/>
        <w:spacing w:before="280" w:after="140"/>
      </w:pPr>
      <w:r>
        <w:rPr>
          <w:b/>
          <w:bCs/>
          <w:color w:val="1F3A5F"/>
          <w:sz w:val="30"/>
          <w:szCs w:val="30"/>
        </w:rPr>
        <w:t>6. The outbound payload (as deployed Aug 26)</w:t>
      </w:r>
    </w:p>
    <w:p w14:paraId="5016E212" w14:textId="77777777" w:rsidR="00B2302E" w:rsidRDefault="00000000">
      <w:pPr>
        <w:spacing w:after="80"/>
      </w:pPr>
      <w:r>
        <w:rPr>
          <w:color w:val="222222"/>
        </w:rPr>
        <w:t>What the web app posts to the CRM intake endpoint. Sixteen keys. Identity fields derived server-side.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B2302E" w14:paraId="5016E216"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5016E213" w14:textId="77777777" w:rsidR="00B2302E" w:rsidRDefault="00000000">
            <w:r>
              <w:rPr>
                <w:b/>
                <w:bCs/>
                <w:color w:val="FFFFFF"/>
                <w:sz w:val="19"/>
                <w:szCs w:val="19"/>
              </w:rPr>
              <w:t>Payload key</w:t>
            </w:r>
          </w:p>
        </w:tc>
        <w:tc>
          <w:tcPr>
            <w:tcW w:w="2400" w:type="dxa"/>
            <w:shd w:val="clear" w:color="auto" w:fill="1F3A5F"/>
            <w:tcMar>
              <w:top w:w="60" w:type="dxa"/>
              <w:left w:w="100" w:type="dxa"/>
              <w:bottom w:w="60" w:type="dxa"/>
              <w:right w:w="100" w:type="dxa"/>
            </w:tcMar>
          </w:tcPr>
          <w:p w14:paraId="5016E214" w14:textId="77777777" w:rsidR="00B2302E" w:rsidRDefault="00000000">
            <w:r>
              <w:rPr>
                <w:b/>
                <w:bCs/>
                <w:color w:val="FFFFFF"/>
                <w:sz w:val="19"/>
                <w:szCs w:val="19"/>
              </w:rPr>
              <w:t>CRM column</w:t>
            </w:r>
          </w:p>
        </w:tc>
        <w:tc>
          <w:tcPr>
            <w:tcW w:w="4360" w:type="dxa"/>
            <w:shd w:val="clear" w:color="auto" w:fill="1F3A5F"/>
            <w:tcMar>
              <w:top w:w="60" w:type="dxa"/>
              <w:left w:w="100" w:type="dxa"/>
              <w:bottom w:w="60" w:type="dxa"/>
              <w:right w:w="100" w:type="dxa"/>
            </w:tcMar>
          </w:tcPr>
          <w:p w14:paraId="5016E215" w14:textId="77777777" w:rsidR="00B2302E" w:rsidRDefault="00000000">
            <w:r>
              <w:rPr>
                <w:b/>
                <w:bCs/>
                <w:color w:val="FFFFFF"/>
                <w:sz w:val="19"/>
                <w:szCs w:val="19"/>
              </w:rPr>
              <w:t>Status</w:t>
            </w:r>
          </w:p>
        </w:tc>
      </w:tr>
      <w:tr w:rsidR="00B2302E" w14:paraId="5016E21A" w14:textId="77777777">
        <w:tblPrEx>
          <w:tblCellMar>
            <w:top w:w="0" w:type="dxa"/>
            <w:bottom w:w="0" w:type="dxa"/>
          </w:tblCellMar>
        </w:tblPrEx>
        <w:tc>
          <w:tcPr>
            <w:tcW w:w="2600" w:type="dxa"/>
            <w:tcMar>
              <w:top w:w="60" w:type="dxa"/>
              <w:left w:w="100" w:type="dxa"/>
              <w:bottom w:w="60" w:type="dxa"/>
              <w:right w:w="100" w:type="dxa"/>
            </w:tcMar>
          </w:tcPr>
          <w:p w14:paraId="5016E217" w14:textId="77777777" w:rsidR="00B2302E" w:rsidRDefault="00000000">
            <w:r>
              <w:rPr>
                <w:color w:val="222222"/>
                <w:sz w:val="19"/>
                <w:szCs w:val="19"/>
              </w:rPr>
              <w:t>channel</w:t>
            </w:r>
          </w:p>
        </w:tc>
        <w:tc>
          <w:tcPr>
            <w:tcW w:w="2400" w:type="dxa"/>
            <w:tcMar>
              <w:top w:w="60" w:type="dxa"/>
              <w:left w:w="100" w:type="dxa"/>
              <w:bottom w:w="60" w:type="dxa"/>
              <w:right w:w="100" w:type="dxa"/>
            </w:tcMar>
          </w:tcPr>
          <w:p w14:paraId="5016E218" w14:textId="77777777" w:rsidR="00B2302E" w:rsidRDefault="00000000">
            <w:r>
              <w:rPr>
                <w:color w:val="222222"/>
                <w:sz w:val="19"/>
                <w:szCs w:val="19"/>
              </w:rPr>
              <w:t>Channel</w:t>
            </w:r>
          </w:p>
        </w:tc>
        <w:tc>
          <w:tcPr>
            <w:tcW w:w="4360" w:type="dxa"/>
            <w:tcMar>
              <w:top w:w="60" w:type="dxa"/>
              <w:left w:w="100" w:type="dxa"/>
              <w:bottom w:w="60" w:type="dxa"/>
              <w:right w:w="100" w:type="dxa"/>
            </w:tcMar>
          </w:tcPr>
          <w:p w14:paraId="5016E219" w14:textId="77777777" w:rsidR="00B2302E" w:rsidRDefault="00000000">
            <w:r>
              <w:rPr>
                <w:color w:val="222222"/>
                <w:sz w:val="19"/>
                <w:szCs w:val="19"/>
              </w:rPr>
              <w:t>Working since July</w:t>
            </w:r>
          </w:p>
        </w:tc>
      </w:tr>
      <w:tr w:rsidR="00B2302E" w14:paraId="5016E21E" w14:textId="77777777">
        <w:tblPrEx>
          <w:tblCellMar>
            <w:top w:w="0" w:type="dxa"/>
            <w:bottom w:w="0" w:type="dxa"/>
          </w:tblCellMar>
        </w:tblPrEx>
        <w:tc>
          <w:tcPr>
            <w:tcW w:w="2600" w:type="dxa"/>
            <w:tcMar>
              <w:top w:w="60" w:type="dxa"/>
              <w:left w:w="100" w:type="dxa"/>
              <w:bottom w:w="60" w:type="dxa"/>
              <w:right w:w="100" w:type="dxa"/>
            </w:tcMar>
          </w:tcPr>
          <w:p w14:paraId="5016E21B" w14:textId="77777777" w:rsidR="00B2302E" w:rsidRDefault="00000000">
            <w:r>
              <w:rPr>
                <w:color w:val="222222"/>
                <w:sz w:val="19"/>
                <w:szCs w:val="19"/>
              </w:rPr>
              <w:t>utmSource</w:t>
            </w:r>
          </w:p>
        </w:tc>
        <w:tc>
          <w:tcPr>
            <w:tcW w:w="2400" w:type="dxa"/>
            <w:tcMar>
              <w:top w:w="60" w:type="dxa"/>
              <w:left w:w="100" w:type="dxa"/>
              <w:bottom w:w="60" w:type="dxa"/>
              <w:right w:w="100" w:type="dxa"/>
            </w:tcMar>
          </w:tcPr>
          <w:p w14:paraId="5016E21C" w14:textId="77777777" w:rsidR="00B2302E" w:rsidRDefault="00000000">
            <w:r>
              <w:rPr>
                <w:color w:val="222222"/>
                <w:sz w:val="19"/>
                <w:szCs w:val="19"/>
              </w:rPr>
              <w:t>UtmSource</w:t>
            </w:r>
          </w:p>
        </w:tc>
        <w:tc>
          <w:tcPr>
            <w:tcW w:w="4360" w:type="dxa"/>
            <w:tcMar>
              <w:top w:w="60" w:type="dxa"/>
              <w:left w:w="100" w:type="dxa"/>
              <w:bottom w:w="60" w:type="dxa"/>
              <w:right w:w="100" w:type="dxa"/>
            </w:tcMar>
          </w:tcPr>
          <w:p w14:paraId="5016E21D" w14:textId="77777777" w:rsidR="00B2302E" w:rsidRDefault="00000000">
            <w:r>
              <w:rPr>
                <w:color w:val="222222"/>
                <w:sz w:val="19"/>
                <w:szCs w:val="19"/>
              </w:rPr>
              <w:t>Working since July</w:t>
            </w:r>
          </w:p>
        </w:tc>
      </w:tr>
      <w:tr w:rsidR="00B2302E" w14:paraId="5016E222" w14:textId="77777777">
        <w:tblPrEx>
          <w:tblCellMar>
            <w:top w:w="0" w:type="dxa"/>
            <w:bottom w:w="0" w:type="dxa"/>
          </w:tblCellMar>
        </w:tblPrEx>
        <w:tc>
          <w:tcPr>
            <w:tcW w:w="2600" w:type="dxa"/>
            <w:tcMar>
              <w:top w:w="60" w:type="dxa"/>
              <w:left w:w="100" w:type="dxa"/>
              <w:bottom w:w="60" w:type="dxa"/>
              <w:right w:w="100" w:type="dxa"/>
            </w:tcMar>
          </w:tcPr>
          <w:p w14:paraId="5016E21F" w14:textId="77777777" w:rsidR="00B2302E" w:rsidRDefault="00000000">
            <w:r>
              <w:rPr>
                <w:color w:val="222222"/>
                <w:sz w:val="19"/>
                <w:szCs w:val="19"/>
              </w:rPr>
              <w:t>utmCampaign</w:t>
            </w:r>
          </w:p>
        </w:tc>
        <w:tc>
          <w:tcPr>
            <w:tcW w:w="2400" w:type="dxa"/>
            <w:tcMar>
              <w:top w:w="60" w:type="dxa"/>
              <w:left w:w="100" w:type="dxa"/>
              <w:bottom w:w="60" w:type="dxa"/>
              <w:right w:w="100" w:type="dxa"/>
            </w:tcMar>
          </w:tcPr>
          <w:p w14:paraId="5016E220" w14:textId="77777777" w:rsidR="00B2302E" w:rsidRDefault="00000000">
            <w:r>
              <w:rPr>
                <w:color w:val="222222"/>
                <w:sz w:val="19"/>
                <w:szCs w:val="19"/>
              </w:rPr>
              <w:t>UtmCampaign</w:t>
            </w:r>
          </w:p>
        </w:tc>
        <w:tc>
          <w:tcPr>
            <w:tcW w:w="4360" w:type="dxa"/>
            <w:tcMar>
              <w:top w:w="60" w:type="dxa"/>
              <w:left w:w="100" w:type="dxa"/>
              <w:bottom w:w="60" w:type="dxa"/>
              <w:right w:w="100" w:type="dxa"/>
            </w:tcMar>
          </w:tcPr>
          <w:p w14:paraId="5016E221" w14:textId="77777777" w:rsidR="00B2302E" w:rsidRDefault="00000000">
            <w:r>
              <w:rPr>
                <w:color w:val="222222"/>
                <w:sz w:val="19"/>
                <w:szCs w:val="19"/>
              </w:rPr>
              <w:t>Working since July</w:t>
            </w:r>
          </w:p>
        </w:tc>
      </w:tr>
      <w:tr w:rsidR="00B2302E" w14:paraId="5016E226" w14:textId="77777777">
        <w:tblPrEx>
          <w:tblCellMar>
            <w:top w:w="0" w:type="dxa"/>
            <w:bottom w:w="0" w:type="dxa"/>
          </w:tblCellMar>
        </w:tblPrEx>
        <w:tc>
          <w:tcPr>
            <w:tcW w:w="2600" w:type="dxa"/>
            <w:tcMar>
              <w:top w:w="60" w:type="dxa"/>
              <w:left w:w="100" w:type="dxa"/>
              <w:bottom w:w="60" w:type="dxa"/>
              <w:right w:w="100" w:type="dxa"/>
            </w:tcMar>
          </w:tcPr>
          <w:p w14:paraId="5016E223" w14:textId="77777777" w:rsidR="00B2302E" w:rsidRDefault="00000000">
            <w:r>
              <w:rPr>
                <w:color w:val="222222"/>
                <w:sz w:val="19"/>
                <w:szCs w:val="19"/>
              </w:rPr>
              <w:t>utmMedium</w:t>
            </w:r>
          </w:p>
        </w:tc>
        <w:tc>
          <w:tcPr>
            <w:tcW w:w="2400" w:type="dxa"/>
            <w:tcMar>
              <w:top w:w="60" w:type="dxa"/>
              <w:left w:w="100" w:type="dxa"/>
              <w:bottom w:w="60" w:type="dxa"/>
              <w:right w:w="100" w:type="dxa"/>
            </w:tcMar>
          </w:tcPr>
          <w:p w14:paraId="5016E224" w14:textId="77777777" w:rsidR="00B2302E" w:rsidRDefault="00000000">
            <w:r>
              <w:rPr>
                <w:color w:val="222222"/>
                <w:sz w:val="19"/>
                <w:szCs w:val="19"/>
              </w:rPr>
              <w:t>UtmMedium</w:t>
            </w:r>
          </w:p>
        </w:tc>
        <w:tc>
          <w:tcPr>
            <w:tcW w:w="4360" w:type="dxa"/>
            <w:tcMar>
              <w:top w:w="60" w:type="dxa"/>
              <w:left w:w="100" w:type="dxa"/>
              <w:bottom w:w="60" w:type="dxa"/>
              <w:right w:w="100" w:type="dxa"/>
            </w:tcMar>
          </w:tcPr>
          <w:p w14:paraId="5016E225" w14:textId="77777777" w:rsidR="00B2302E" w:rsidRDefault="00000000">
            <w:r>
              <w:rPr>
                <w:color w:val="222222"/>
                <w:sz w:val="19"/>
                <w:szCs w:val="19"/>
              </w:rPr>
              <w:t>Working since July</w:t>
            </w:r>
          </w:p>
        </w:tc>
      </w:tr>
      <w:tr w:rsidR="00B2302E" w14:paraId="5016E22A" w14:textId="77777777">
        <w:tblPrEx>
          <w:tblCellMar>
            <w:top w:w="0" w:type="dxa"/>
            <w:bottom w:w="0" w:type="dxa"/>
          </w:tblCellMar>
        </w:tblPrEx>
        <w:tc>
          <w:tcPr>
            <w:tcW w:w="2600" w:type="dxa"/>
            <w:tcMar>
              <w:top w:w="60" w:type="dxa"/>
              <w:left w:w="100" w:type="dxa"/>
              <w:bottom w:w="60" w:type="dxa"/>
              <w:right w:w="100" w:type="dxa"/>
            </w:tcMar>
          </w:tcPr>
          <w:p w14:paraId="5016E227" w14:textId="77777777" w:rsidR="00B2302E" w:rsidRDefault="00000000">
            <w:r>
              <w:rPr>
                <w:color w:val="222222"/>
                <w:sz w:val="19"/>
                <w:szCs w:val="19"/>
              </w:rPr>
              <w:t>Origin</w:t>
            </w:r>
          </w:p>
        </w:tc>
        <w:tc>
          <w:tcPr>
            <w:tcW w:w="2400" w:type="dxa"/>
            <w:tcMar>
              <w:top w:w="60" w:type="dxa"/>
              <w:left w:w="100" w:type="dxa"/>
              <w:bottom w:w="60" w:type="dxa"/>
              <w:right w:w="100" w:type="dxa"/>
            </w:tcMar>
          </w:tcPr>
          <w:p w14:paraId="5016E228" w14:textId="77777777" w:rsidR="00B2302E" w:rsidRDefault="00000000">
            <w:r>
              <w:rPr>
                <w:color w:val="222222"/>
                <w:sz w:val="19"/>
                <w:szCs w:val="19"/>
              </w:rPr>
              <w:t>Origin</w:t>
            </w:r>
          </w:p>
        </w:tc>
        <w:tc>
          <w:tcPr>
            <w:tcW w:w="4360" w:type="dxa"/>
            <w:tcMar>
              <w:top w:w="60" w:type="dxa"/>
              <w:left w:w="100" w:type="dxa"/>
              <w:bottom w:w="60" w:type="dxa"/>
              <w:right w:w="100" w:type="dxa"/>
            </w:tcMar>
          </w:tcPr>
          <w:p w14:paraId="5016E229" w14:textId="77777777" w:rsidR="00B2302E" w:rsidRDefault="00000000">
            <w:r>
              <w:rPr>
                <w:color w:val="222222"/>
                <w:sz w:val="19"/>
                <w:szCs w:val="19"/>
              </w:rPr>
              <w:t>RENAMED Aug 26 (was entryPoint — never matched)</w:t>
            </w:r>
          </w:p>
        </w:tc>
      </w:tr>
      <w:tr w:rsidR="00B2302E" w14:paraId="5016E22E" w14:textId="77777777">
        <w:tblPrEx>
          <w:tblCellMar>
            <w:top w:w="0" w:type="dxa"/>
            <w:bottom w:w="0" w:type="dxa"/>
          </w:tblCellMar>
        </w:tblPrEx>
        <w:tc>
          <w:tcPr>
            <w:tcW w:w="2600" w:type="dxa"/>
            <w:tcMar>
              <w:top w:w="60" w:type="dxa"/>
              <w:left w:w="100" w:type="dxa"/>
              <w:bottom w:w="60" w:type="dxa"/>
              <w:right w:w="100" w:type="dxa"/>
            </w:tcMar>
          </w:tcPr>
          <w:p w14:paraId="5016E22B" w14:textId="77777777" w:rsidR="00B2302E" w:rsidRDefault="00000000">
            <w:r>
              <w:rPr>
                <w:color w:val="222222"/>
                <w:sz w:val="19"/>
                <w:szCs w:val="19"/>
              </w:rPr>
              <w:t>LeadSource</w:t>
            </w:r>
          </w:p>
        </w:tc>
        <w:tc>
          <w:tcPr>
            <w:tcW w:w="2400" w:type="dxa"/>
            <w:tcMar>
              <w:top w:w="60" w:type="dxa"/>
              <w:left w:w="100" w:type="dxa"/>
              <w:bottom w:w="60" w:type="dxa"/>
              <w:right w:w="100" w:type="dxa"/>
            </w:tcMar>
          </w:tcPr>
          <w:p w14:paraId="5016E22C" w14:textId="77777777" w:rsidR="00B2302E" w:rsidRDefault="00000000">
            <w:r>
              <w:rPr>
                <w:color w:val="222222"/>
                <w:sz w:val="19"/>
                <w:szCs w:val="19"/>
              </w:rPr>
              <w:t>LeadSource</w:t>
            </w:r>
          </w:p>
        </w:tc>
        <w:tc>
          <w:tcPr>
            <w:tcW w:w="4360" w:type="dxa"/>
            <w:tcMar>
              <w:top w:w="60" w:type="dxa"/>
              <w:left w:w="100" w:type="dxa"/>
              <w:bottom w:w="60" w:type="dxa"/>
              <w:right w:w="100" w:type="dxa"/>
            </w:tcMar>
          </w:tcPr>
          <w:p w14:paraId="5016E22D" w14:textId="77777777" w:rsidR="00B2302E" w:rsidRDefault="00000000">
            <w:r>
              <w:rPr>
                <w:color w:val="222222"/>
                <w:sz w:val="19"/>
                <w:szCs w:val="19"/>
              </w:rPr>
              <w:t>RENAMED Aug 26 (was firstTouchChannel — never matched)</w:t>
            </w:r>
          </w:p>
        </w:tc>
      </w:tr>
      <w:tr w:rsidR="00B2302E" w14:paraId="5016E232" w14:textId="77777777">
        <w:tblPrEx>
          <w:tblCellMar>
            <w:top w:w="0" w:type="dxa"/>
            <w:bottom w:w="0" w:type="dxa"/>
          </w:tblCellMar>
        </w:tblPrEx>
        <w:tc>
          <w:tcPr>
            <w:tcW w:w="2600" w:type="dxa"/>
            <w:tcMar>
              <w:top w:w="60" w:type="dxa"/>
              <w:left w:w="100" w:type="dxa"/>
              <w:bottom w:w="60" w:type="dxa"/>
              <w:right w:w="100" w:type="dxa"/>
            </w:tcMar>
          </w:tcPr>
          <w:p w14:paraId="5016E22F" w14:textId="77777777" w:rsidR="00B2302E" w:rsidRDefault="00000000">
            <w:r>
              <w:rPr>
                <w:color w:val="222222"/>
                <w:sz w:val="19"/>
                <w:szCs w:val="19"/>
              </w:rPr>
              <w:t>FirstTouchCampaign</w:t>
            </w:r>
          </w:p>
        </w:tc>
        <w:tc>
          <w:tcPr>
            <w:tcW w:w="2400" w:type="dxa"/>
            <w:tcMar>
              <w:top w:w="60" w:type="dxa"/>
              <w:left w:w="100" w:type="dxa"/>
              <w:bottom w:w="60" w:type="dxa"/>
              <w:right w:w="100" w:type="dxa"/>
            </w:tcMar>
          </w:tcPr>
          <w:p w14:paraId="5016E230" w14:textId="77777777" w:rsidR="00B2302E" w:rsidRDefault="00000000">
            <w:r>
              <w:rPr>
                <w:color w:val="222222"/>
                <w:sz w:val="19"/>
                <w:szCs w:val="19"/>
              </w:rPr>
              <w:t>FirstTouchCampaign</w:t>
            </w:r>
          </w:p>
        </w:tc>
        <w:tc>
          <w:tcPr>
            <w:tcW w:w="4360" w:type="dxa"/>
            <w:tcMar>
              <w:top w:w="60" w:type="dxa"/>
              <w:left w:w="100" w:type="dxa"/>
              <w:bottom w:w="60" w:type="dxa"/>
              <w:right w:w="100" w:type="dxa"/>
            </w:tcMar>
          </w:tcPr>
          <w:p w14:paraId="5016E231" w14:textId="77777777" w:rsidR="00B2302E" w:rsidRDefault="00000000">
            <w:r>
              <w:rPr>
                <w:color w:val="222222"/>
                <w:sz w:val="19"/>
                <w:szCs w:val="19"/>
              </w:rPr>
              <w:t>RENAMED Aug 26 (was firstTouchCampaign — did not match despite casing normalisation)</w:t>
            </w:r>
          </w:p>
        </w:tc>
      </w:tr>
      <w:tr w:rsidR="00B2302E" w14:paraId="5016E236" w14:textId="77777777">
        <w:tblPrEx>
          <w:tblCellMar>
            <w:top w:w="0" w:type="dxa"/>
            <w:bottom w:w="0" w:type="dxa"/>
          </w:tblCellMar>
        </w:tblPrEx>
        <w:tc>
          <w:tcPr>
            <w:tcW w:w="2600" w:type="dxa"/>
            <w:tcMar>
              <w:top w:w="60" w:type="dxa"/>
              <w:left w:w="100" w:type="dxa"/>
              <w:bottom w:w="60" w:type="dxa"/>
              <w:right w:w="100" w:type="dxa"/>
            </w:tcMar>
          </w:tcPr>
          <w:p w14:paraId="5016E233" w14:textId="77777777" w:rsidR="00B2302E" w:rsidRDefault="00000000">
            <w:r>
              <w:rPr>
                <w:color w:val="222222"/>
                <w:sz w:val="19"/>
                <w:szCs w:val="19"/>
              </w:rPr>
              <w:t>UtmContent</w:t>
            </w:r>
          </w:p>
        </w:tc>
        <w:tc>
          <w:tcPr>
            <w:tcW w:w="2400" w:type="dxa"/>
            <w:tcMar>
              <w:top w:w="60" w:type="dxa"/>
              <w:left w:w="100" w:type="dxa"/>
              <w:bottom w:w="60" w:type="dxa"/>
              <w:right w:w="100" w:type="dxa"/>
            </w:tcMar>
          </w:tcPr>
          <w:p w14:paraId="5016E234" w14:textId="77777777" w:rsidR="00B2302E" w:rsidRDefault="00000000">
            <w:r>
              <w:rPr>
                <w:color w:val="222222"/>
                <w:sz w:val="19"/>
                <w:szCs w:val="19"/>
              </w:rPr>
              <w:t>UtmContent</w:t>
            </w:r>
          </w:p>
        </w:tc>
        <w:tc>
          <w:tcPr>
            <w:tcW w:w="4360" w:type="dxa"/>
            <w:tcMar>
              <w:top w:w="60" w:type="dxa"/>
              <w:left w:w="100" w:type="dxa"/>
              <w:bottom w:w="60" w:type="dxa"/>
              <w:right w:w="100" w:type="dxa"/>
            </w:tcMar>
          </w:tcPr>
          <w:p w14:paraId="5016E235" w14:textId="77777777" w:rsidR="00B2302E" w:rsidRDefault="00000000">
            <w:r>
              <w:rPr>
                <w:color w:val="222222"/>
                <w:sz w:val="19"/>
                <w:szCs w:val="19"/>
              </w:rPr>
              <w:t>ADDED Aug 26 (was captured but never forwarded)</w:t>
            </w:r>
          </w:p>
        </w:tc>
      </w:tr>
      <w:tr w:rsidR="00B2302E" w14:paraId="5016E23A" w14:textId="77777777">
        <w:tblPrEx>
          <w:tblCellMar>
            <w:top w:w="0" w:type="dxa"/>
            <w:bottom w:w="0" w:type="dxa"/>
          </w:tblCellMar>
        </w:tblPrEx>
        <w:tc>
          <w:tcPr>
            <w:tcW w:w="2600" w:type="dxa"/>
            <w:tcMar>
              <w:top w:w="60" w:type="dxa"/>
              <w:left w:w="100" w:type="dxa"/>
              <w:bottom w:w="60" w:type="dxa"/>
              <w:right w:w="100" w:type="dxa"/>
            </w:tcMar>
          </w:tcPr>
          <w:p w14:paraId="5016E237" w14:textId="77777777" w:rsidR="00B2302E" w:rsidRDefault="00000000">
            <w:r>
              <w:rPr>
                <w:color w:val="222222"/>
                <w:sz w:val="19"/>
                <w:szCs w:val="19"/>
              </w:rPr>
              <w:t>referralSourceId</w:t>
            </w:r>
          </w:p>
        </w:tc>
        <w:tc>
          <w:tcPr>
            <w:tcW w:w="2400" w:type="dxa"/>
            <w:tcMar>
              <w:top w:w="60" w:type="dxa"/>
              <w:left w:w="100" w:type="dxa"/>
              <w:bottom w:w="60" w:type="dxa"/>
              <w:right w:w="100" w:type="dxa"/>
            </w:tcMar>
          </w:tcPr>
          <w:p w14:paraId="5016E238" w14:textId="77777777" w:rsidR="00B2302E" w:rsidRDefault="00000000">
            <w:r>
              <w:rPr>
                <w:color w:val="222222"/>
                <w:sz w:val="19"/>
                <w:szCs w:val="19"/>
              </w:rPr>
              <w:t>ReferralSourceId</w:t>
            </w:r>
          </w:p>
        </w:tc>
        <w:tc>
          <w:tcPr>
            <w:tcW w:w="4360" w:type="dxa"/>
            <w:tcMar>
              <w:top w:w="60" w:type="dxa"/>
              <w:left w:w="100" w:type="dxa"/>
              <w:bottom w:w="60" w:type="dxa"/>
              <w:right w:w="100" w:type="dxa"/>
            </w:tcMar>
          </w:tcPr>
          <w:p w14:paraId="5016E239" w14:textId="77777777" w:rsidR="00B2302E" w:rsidRDefault="00000000">
            <w:r>
              <w:rPr>
                <w:color w:val="222222"/>
                <w:sz w:val="19"/>
                <w:szCs w:val="19"/>
              </w:rPr>
              <w:t>Unchanged; "landing page" fallback retained (interim)</w:t>
            </w:r>
          </w:p>
        </w:tc>
      </w:tr>
      <w:tr w:rsidR="00B2302E" w14:paraId="5016E23E" w14:textId="77777777">
        <w:tblPrEx>
          <w:tblCellMar>
            <w:top w:w="0" w:type="dxa"/>
            <w:bottom w:w="0" w:type="dxa"/>
          </w:tblCellMar>
        </w:tblPrEx>
        <w:tc>
          <w:tcPr>
            <w:tcW w:w="2600" w:type="dxa"/>
            <w:tcMar>
              <w:top w:w="60" w:type="dxa"/>
              <w:left w:w="100" w:type="dxa"/>
              <w:bottom w:w="60" w:type="dxa"/>
              <w:right w:w="100" w:type="dxa"/>
            </w:tcMar>
          </w:tcPr>
          <w:p w14:paraId="5016E23B" w14:textId="77777777" w:rsidR="00B2302E" w:rsidRDefault="00000000">
            <w:r>
              <w:rPr>
                <w:color w:val="222222"/>
                <w:sz w:val="19"/>
                <w:szCs w:val="19"/>
              </w:rPr>
              <w:t>—</w:t>
            </w:r>
          </w:p>
        </w:tc>
        <w:tc>
          <w:tcPr>
            <w:tcW w:w="2400" w:type="dxa"/>
            <w:tcMar>
              <w:top w:w="60" w:type="dxa"/>
              <w:left w:w="100" w:type="dxa"/>
              <w:bottom w:w="60" w:type="dxa"/>
              <w:right w:w="100" w:type="dxa"/>
            </w:tcMar>
          </w:tcPr>
          <w:p w14:paraId="5016E23C" w14:textId="77777777" w:rsidR="00B2302E" w:rsidRDefault="00000000">
            <w:r>
              <w:rPr>
                <w:color w:val="222222"/>
                <w:sz w:val="19"/>
                <w:szCs w:val="19"/>
              </w:rPr>
              <w:t>PromoCode</w:t>
            </w:r>
          </w:p>
        </w:tc>
        <w:tc>
          <w:tcPr>
            <w:tcW w:w="4360" w:type="dxa"/>
            <w:tcMar>
              <w:top w:w="60" w:type="dxa"/>
              <w:left w:w="100" w:type="dxa"/>
              <w:bottom w:w="60" w:type="dxa"/>
              <w:right w:w="100" w:type="dxa"/>
            </w:tcMar>
          </w:tcPr>
          <w:p w14:paraId="5016E23D" w14:textId="77777777" w:rsidR="00B2302E" w:rsidRDefault="00000000">
            <w:r>
              <w:rPr>
                <w:color w:val="222222"/>
                <w:sz w:val="19"/>
                <w:szCs w:val="19"/>
              </w:rPr>
              <w:t>Reserved (future creator codes)</w:t>
            </w:r>
          </w:p>
        </w:tc>
      </w:tr>
      <w:tr w:rsidR="00B2302E" w14:paraId="5016E242" w14:textId="77777777">
        <w:tblPrEx>
          <w:tblCellMar>
            <w:top w:w="0" w:type="dxa"/>
            <w:bottom w:w="0" w:type="dxa"/>
          </w:tblCellMar>
        </w:tblPrEx>
        <w:tc>
          <w:tcPr>
            <w:tcW w:w="2600" w:type="dxa"/>
            <w:tcMar>
              <w:top w:w="60" w:type="dxa"/>
              <w:left w:w="100" w:type="dxa"/>
              <w:bottom w:w="60" w:type="dxa"/>
              <w:right w:w="100" w:type="dxa"/>
            </w:tcMar>
          </w:tcPr>
          <w:p w14:paraId="5016E23F" w14:textId="77777777" w:rsidR="00B2302E" w:rsidRDefault="00000000">
            <w:r>
              <w:rPr>
                <w:color w:val="222222"/>
                <w:sz w:val="19"/>
                <w:szCs w:val="19"/>
              </w:rPr>
              <w:t>—</w:t>
            </w:r>
          </w:p>
        </w:tc>
        <w:tc>
          <w:tcPr>
            <w:tcW w:w="2400" w:type="dxa"/>
            <w:tcMar>
              <w:top w:w="60" w:type="dxa"/>
              <w:left w:w="100" w:type="dxa"/>
              <w:bottom w:w="60" w:type="dxa"/>
              <w:right w:w="100" w:type="dxa"/>
            </w:tcMar>
          </w:tcPr>
          <w:p w14:paraId="5016E240" w14:textId="77777777" w:rsidR="00B2302E" w:rsidRDefault="00000000">
            <w:r>
              <w:rPr>
                <w:color w:val="222222"/>
                <w:sz w:val="19"/>
                <w:szCs w:val="19"/>
              </w:rPr>
              <w:t>UtmTerm</w:t>
            </w:r>
          </w:p>
        </w:tc>
        <w:tc>
          <w:tcPr>
            <w:tcW w:w="4360" w:type="dxa"/>
            <w:tcMar>
              <w:top w:w="60" w:type="dxa"/>
              <w:left w:w="100" w:type="dxa"/>
              <w:bottom w:w="60" w:type="dxa"/>
              <w:right w:w="100" w:type="dxa"/>
            </w:tcMar>
          </w:tcPr>
          <w:p w14:paraId="5016E241" w14:textId="77777777" w:rsidR="00B2302E" w:rsidRDefault="00000000">
            <w:r>
              <w:rPr>
                <w:color w:val="222222"/>
                <w:sz w:val="19"/>
                <w:szCs w:val="19"/>
              </w:rPr>
              <w:t>Intentionally never sent; column stays empty</w:t>
            </w:r>
          </w:p>
        </w:tc>
      </w:tr>
    </w:tbl>
    <w:p w14:paraId="5016E243" w14:textId="77777777" w:rsidR="00B2302E" w:rsidRDefault="00000000">
      <w:pPr>
        <w:spacing w:after="120"/>
      </w:pPr>
      <w:r>
        <w:rPr>
          <w:color w:val="222222"/>
        </w:rPr>
        <w:t>Removed Aug 26: the dead medium key (duplicated utmMedium, no destination column). Not sent, by prior decisions: utm_term, leadId, GA client id, variant (variant now travels via UtmContent), full name string, submittedAt.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302E" w14:paraId="5016E245" w14:textId="77777777">
        <w:tblPrEx>
          <w:tblCellMar>
            <w:top w:w="0" w:type="dxa"/>
            <w:bottom w:w="0" w:type="dxa"/>
          </w:tblCellMar>
        </w:tblPrEx>
        <w:tc>
          <w:tcPr>
            <w:tcW w:w="9360" w:type="dxa"/>
            <w:shd w:val="clear" w:color="auto" w:fill="EFE9DC"/>
            <w:tcMar>
              <w:top w:w="100" w:type="dxa"/>
              <w:left w:w="160" w:type="dxa"/>
              <w:bottom w:w="100" w:type="dxa"/>
              <w:right w:w="160" w:type="dxa"/>
            </w:tcMar>
          </w:tcPr>
          <w:p w14:paraId="5016E244" w14:textId="77777777" w:rsidR="00B2302E" w:rsidRDefault="00000000">
            <w:r>
              <w:rPr>
                <w:color w:val="3A3A3A"/>
                <w:sz w:val="20"/>
                <w:szCs w:val="20"/>
              </w:rPr>
              <w:lastRenderedPageBreak/>
              <w:t>Verification protocol: one production test lead with every field populated and first-touch deliberately DIFFERENT from last-touch (e.g. first-touch creator/testcampaign-firsttouch vs last-touch email/testcampaign-lasttouch). Distinct values per field prove independent storage — identical values cannot. Status: in flight at time of writing; record the result here.</w:t>
            </w:r>
          </w:p>
        </w:tc>
      </w:tr>
    </w:tbl>
    <w:p w14:paraId="5016E246" w14:textId="77777777" w:rsidR="00B2302E" w:rsidRDefault="00000000">
      <w:pPr>
        <w:pStyle w:val="Heading2"/>
        <w:spacing w:before="200" w:after="100"/>
      </w:pPr>
      <w:r>
        <w:rPr>
          <w:b/>
          <w:bCs/>
          <w:color w:val="1F3A5F"/>
          <w:sz w:val="25"/>
          <w:szCs w:val="25"/>
        </w:rPr>
        <w:t>6a. Note on market</w:t>
      </w:r>
    </w:p>
    <w:p w14:paraId="5016E247" w14:textId="77777777" w:rsidR="00B2302E" w:rsidRDefault="00000000">
      <w:pPr>
        <w:spacing w:after="120"/>
      </w:pPr>
      <w:r>
        <w:rPr>
          <w:color w:val="222222"/>
        </w:rPr>
        <w:t>The URL may carry a slug that pre-selects the page, but the authoritative Market value derives from the entered address. The stored value is the display name; the CRM maps display names to its internal market codes (confirmed: Maryland → BAL). The mapping table lives on the CRM side — confirm behaviour for any market string the mapper has not seen before launching a new market.</w:t>
      </w:r>
    </w:p>
    <w:p w14:paraId="5016E248" w14:textId="77777777" w:rsidR="00B2302E" w:rsidRDefault="00000000">
      <w:pPr>
        <w:pStyle w:val="Heading1"/>
        <w:spacing w:before="280" w:after="140"/>
      </w:pPr>
      <w:r>
        <w:rPr>
          <w:b/>
          <w:bCs/>
          <w:color w:val="1F3A5F"/>
          <w:sz w:val="30"/>
          <w:szCs w:val="30"/>
        </w:rPr>
        <w:t>7. Naming convention — lock before any new links are built</w:t>
      </w:r>
    </w:p>
    <w:p w14:paraId="5016E249" w14:textId="77777777" w:rsidR="00B2302E" w:rsidRDefault="00000000">
      <w:pPr>
        <w:spacing w:after="120"/>
      </w:pPr>
      <w:r>
        <w:rPr>
          <w:color w:val="222222"/>
        </w:rPr>
        <w:t>utm_source is always one of the ten channel values, spelled exactly. Lowercase, no spaces.</w:t>
      </w:r>
    </w:p>
    <w:p w14:paraId="5016E24A" w14:textId="77777777" w:rsidR="00B2302E" w:rsidRDefault="00000000">
      <w:pPr>
        <w:spacing w:after="120"/>
      </w:pPr>
      <w:r>
        <w:rPr>
          <w:color w:val="222222"/>
        </w:rPr>
        <w:t>utm_campaign follows [tactic]-[descriptor]-[market-or-date], lowercase, hyphens. The leading tactic token rolls up under one channel. NEW: for the split email program, cold sends begin cold-, opt-in sends begin nurture- — this is how the two domains stay separable in reporting with no new fields. Event campaigns lead with the event (expcon-booth-oct, webinar-followup-nov).</w:t>
      </w:r>
    </w:p>
    <w:p w14:paraId="5016E24B" w14:textId="77777777" w:rsidR="00B2302E" w:rsidRDefault="00000000">
      <w:pPr>
        <w:spacing w:after="120"/>
      </w:pPr>
      <w:r>
        <w:rPr>
          <w:color w:val="222222"/>
        </w:rPr>
        <w:t>utm_medium is one of: e, cpc, social, print, qr, collateral.</w:t>
      </w:r>
    </w:p>
    <w:p w14:paraId="5016E24C" w14:textId="77777777" w:rsidR="00B2302E" w:rsidRDefault="00000000">
      <w:pPr>
        <w:spacing w:after="120"/>
      </w:pPr>
      <w:r>
        <w:rPr>
          <w:color w:val="222222"/>
        </w:rPr>
        <w:t>utm_content carries the variant or creative identifier.</w:t>
      </w:r>
    </w:p>
    <w:p w14:paraId="5016E24D" w14:textId="77777777" w:rsidR="00B2302E" w:rsidRDefault="00000000">
      <w:pPr>
        <w:spacing w:after="120"/>
      </w:pPr>
      <w:r>
        <w:rPr>
          <w:color w:val="222222"/>
        </w:rPr>
        <w:t>One shared UTM builder as the single source of truth; values never hand-typed. The data window shows why: two July campaigns carry invisible trailing whitespace and will never aggregate with their clean twins. Until the builder exists, treat campaign as best-effort.</w:t>
      </w:r>
    </w:p>
    <w:p w14:paraId="5016E24E" w14:textId="77777777" w:rsidR="00B2302E" w:rsidRDefault="00000000">
      <w:pPr>
        <w:pStyle w:val="Heading1"/>
        <w:spacing w:before="280" w:after="140"/>
      </w:pPr>
      <w:r>
        <w:rPr>
          <w:b/>
          <w:bCs/>
          <w:color w:val="1F3A5F"/>
          <w:sz w:val="30"/>
          <w:szCs w:val="30"/>
        </w:rPr>
        <w:t>8. Enforcement</w:t>
      </w:r>
    </w:p>
    <w:p w14:paraId="5016E24F" w14:textId="77777777" w:rsidR="00B2302E" w:rsidRDefault="00000000">
      <w:pPr>
        <w:spacing w:after="120"/>
      </w:pPr>
      <w:r>
        <w:rPr>
          <w:color w:val="222222"/>
        </w:rPr>
        <w:t>channel required, closed-list, validated in the web app; ideally also a CRM-side pick-list. Kill "OTHER" as a resting state — triage queue, cleared weekly. Mandatory channel + campaign on manual creation, pre-defaulted per rep. One-time backfill of legacy records maps the ReferralSource junk drawer (www.curbio.com, Phone Call, landing page, Other, lonewolf, Inbound Email, partner labels, page URLs) onto the model — imperfect for history, clean baseline forward.</w:t>
      </w:r>
    </w:p>
    <w:p w14:paraId="5016E250" w14:textId="77777777" w:rsidR="00B2302E" w:rsidRDefault="00000000">
      <w:pPr>
        <w:pStyle w:val="Heading1"/>
        <w:spacing w:before="280" w:after="140"/>
      </w:pPr>
      <w:r>
        <w:rPr>
          <w:b/>
          <w:bCs/>
          <w:color w:val="1F3A5F"/>
          <w:sz w:val="30"/>
          <w:szCs w:val="30"/>
        </w:rPr>
        <w:t>9. Dark traffic — the honest limit</w:t>
      </w:r>
    </w:p>
    <w:p w14:paraId="5016E251" w14:textId="77777777" w:rsidR="00B2302E" w:rsidRDefault="00000000">
      <w:pPr>
        <w:spacing w:after="120"/>
      </w:pPr>
      <w:r>
        <w:rPr>
          <w:color w:val="222222"/>
        </w:rPr>
        <w:t>An agent who reads an email and later types curbio.com is indistinguishable from a cold visitor. Shrink and estimate the unknown bucket: self-reported attribution (single dropdown, deferred, now testable against the ~10% baseline); email-only destinations (sell.curbio.com already serves this); identity matching of submitted emails against campaign sends (capability unconfirmed); holdout tests (withhold a campaign from 10% of a market; the lift elsewhere is its true contribution). Last-click says where leads finished; self-report and holdouts say what caused them. The channels we most want to grow are inherently dark.</w:t>
      </w:r>
    </w:p>
    <w:p w14:paraId="5016E252" w14:textId="77777777" w:rsidR="00B2302E" w:rsidRDefault="00000000">
      <w:pPr>
        <w:pStyle w:val="Heading1"/>
        <w:spacing w:before="280" w:after="140"/>
      </w:pPr>
      <w:r>
        <w:rPr>
          <w:b/>
          <w:bCs/>
          <w:color w:val="1F3A5F"/>
          <w:sz w:val="30"/>
          <w:szCs w:val="30"/>
        </w:rPr>
        <w:t>10. What this enables</w:t>
      </w:r>
    </w:p>
    <w:p w14:paraId="5016E253" w14:textId="77777777" w:rsidR="00B2302E" w:rsidRDefault="00000000">
      <w:pPr>
        <w:spacing w:after="120"/>
      </w:pPr>
      <w:r>
        <w:rPr>
          <w:color w:val="222222"/>
        </w:rPr>
        <w:t xml:space="preserve">Every lead carrying these fields lets the reporting layer slice the funnel (Lead → Spoke with Agent → Meeting Scheduled → Completed Walkthrough → Proposal Sent → Closed) by channel × market, CAC and close rate per cell, first-touch beside last-touch. That view drives budget and headcount, and </w:t>
      </w:r>
      <w:r>
        <w:rPr>
          <w:color w:val="222222"/>
        </w:rPr>
        <w:lastRenderedPageBreak/>
        <w:t>answers whether a low close rate is a rep problem or a lead-source problem. The data window above is the first real input; the dashboard join to email and spend is the remaining build.</w:t>
      </w:r>
    </w:p>
    <w:p w14:paraId="5016E254" w14:textId="77777777" w:rsidR="00B2302E" w:rsidRDefault="00000000">
      <w:pPr>
        <w:pStyle w:val="Heading1"/>
        <w:spacing w:before="280" w:after="140"/>
      </w:pPr>
      <w:r>
        <w:rPr>
          <w:b/>
          <w:bCs/>
          <w:color w:val="1F3A5F"/>
          <w:sz w:val="30"/>
          <w:szCs w:val="30"/>
        </w:rPr>
        <w:t>11. Open engineering questions</w:t>
      </w:r>
    </w:p>
    <w:p w14:paraId="5016E255" w14:textId="77777777" w:rsidR="00B2302E" w:rsidRDefault="00000000">
      <w:pPr>
        <w:spacing w:after="120"/>
      </w:pPr>
      <w:r>
        <w:rPr>
          <w:color w:val="222222"/>
        </w:rPr>
        <w:t>• Verify the Aug 26 fix on a real record: Origin, LeadSource, FirstTouchCampaign, UtmContent populated on the Estimate. (Test lead in flight.)</w:t>
      </w:r>
    </w:p>
    <w:p w14:paraId="5016E256" w14:textId="77777777" w:rsidR="00B2302E" w:rsidRDefault="00000000">
      <w:pPr>
        <w:spacing w:after="120"/>
      </w:pPr>
      <w:r>
        <w:rPr>
          <w:color w:val="222222"/>
        </w:rPr>
        <w:t>• Re-point the legacy LeadSource writers (phone, mobile app, inbound email) so the column can hold first-touch exclusively. Until then, its values are mixed-meaning.</w:t>
      </w:r>
    </w:p>
    <w:p w14:paraId="5016E257" w14:textId="77777777" w:rsidR="00B2302E" w:rsidRDefault="00000000">
      <w:pPr>
        <w:spacing w:after="120"/>
      </w:pPr>
      <w:r>
        <w:rPr>
          <w:color w:val="222222"/>
        </w:rPr>
        <w:t>• PromoCode → report: confirm it flows like the other columns before the first creator contract.</w:t>
      </w:r>
    </w:p>
    <w:p w14:paraId="5016E258" w14:textId="77777777" w:rsidR="00B2302E" w:rsidRDefault="00000000">
      <w:pPr>
        <w:spacing w:after="120"/>
      </w:pPr>
      <w:r>
        <w:rPr>
          <w:color w:val="222222"/>
        </w:rPr>
        <w:t>• Phone and manual doors: confirm call tracking and manual creation write to the same fields. Now gating for the event and mail motions.</w:t>
      </w:r>
    </w:p>
    <w:p w14:paraId="5016E259" w14:textId="77777777" w:rsidR="00B2302E" w:rsidRDefault="00000000">
      <w:pPr>
        <w:spacing w:after="120"/>
      </w:pPr>
      <w:r>
        <w:rPr>
          <w:color w:val="222222"/>
        </w:rPr>
        <w:t>• CRM-side pick-list for Channel — or validation remains solely in our code.</w:t>
      </w:r>
    </w:p>
    <w:p w14:paraId="5016E25A" w14:textId="77777777" w:rsidR="00B2302E" w:rsidRDefault="00000000">
      <w:pPr>
        <w:spacing w:after="120"/>
      </w:pPr>
      <w:r>
        <w:rPr>
          <w:color w:val="222222"/>
        </w:rPr>
        <w:t>• Market mapper behaviour for unseen market strings (new-market launches).</w:t>
      </w:r>
    </w:p>
    <w:p w14:paraId="5016E25B" w14:textId="77777777" w:rsidR="00B2302E" w:rsidRDefault="00000000">
      <w:pPr>
        <w:spacing w:after="120"/>
      </w:pPr>
      <w:r>
        <w:rPr>
          <w:color w:val="222222"/>
        </w:rPr>
        <w:t>• Dashboard: join the report to email platform and paid spend for the channel × market view.</w:t>
      </w:r>
    </w:p>
    <w:p w14:paraId="5016E25C" w14:textId="77777777" w:rsidR="00B2302E" w:rsidRDefault="00000000">
      <w:pPr>
        <w:spacing w:before="240"/>
      </w:pPr>
      <w:r>
        <w:rPr>
          <w:i/>
          <w:iCs/>
          <w:color w:val="555555"/>
          <w:sz w:val="19"/>
          <w:szCs w:val="19"/>
        </w:rPr>
        <w:t>Companion document: Curbio Marketing Strategy, Goals &amp; Attribution (v1.0, July 2026). Where both describe the field model, this document is authoritative on implementation detail.</w:t>
      </w:r>
    </w:p>
    <w:sectPr w:rsidR="00B2302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2604B"/>
    <w:multiLevelType w:val="hybridMultilevel"/>
    <w:tmpl w:val="C6044026"/>
    <w:lvl w:ilvl="0" w:tplc="4F96AEF6">
      <w:start w:val="1"/>
      <w:numFmt w:val="bullet"/>
      <w:lvlText w:val="●"/>
      <w:lvlJc w:val="left"/>
      <w:pPr>
        <w:ind w:left="720" w:hanging="360"/>
      </w:pPr>
    </w:lvl>
    <w:lvl w:ilvl="1" w:tplc="A674608C">
      <w:start w:val="1"/>
      <w:numFmt w:val="bullet"/>
      <w:lvlText w:val="○"/>
      <w:lvlJc w:val="left"/>
      <w:pPr>
        <w:ind w:left="1440" w:hanging="360"/>
      </w:pPr>
    </w:lvl>
    <w:lvl w:ilvl="2" w:tplc="32BCD128">
      <w:start w:val="1"/>
      <w:numFmt w:val="bullet"/>
      <w:lvlText w:val="■"/>
      <w:lvlJc w:val="left"/>
      <w:pPr>
        <w:ind w:left="2160" w:hanging="360"/>
      </w:pPr>
    </w:lvl>
    <w:lvl w:ilvl="3" w:tplc="A510F9F4">
      <w:start w:val="1"/>
      <w:numFmt w:val="bullet"/>
      <w:lvlText w:val="●"/>
      <w:lvlJc w:val="left"/>
      <w:pPr>
        <w:ind w:left="2880" w:hanging="360"/>
      </w:pPr>
    </w:lvl>
    <w:lvl w:ilvl="4" w:tplc="B7B0660A">
      <w:start w:val="1"/>
      <w:numFmt w:val="bullet"/>
      <w:lvlText w:val="○"/>
      <w:lvlJc w:val="left"/>
      <w:pPr>
        <w:ind w:left="3600" w:hanging="360"/>
      </w:pPr>
    </w:lvl>
    <w:lvl w:ilvl="5" w:tplc="E32E1DEC">
      <w:start w:val="1"/>
      <w:numFmt w:val="bullet"/>
      <w:lvlText w:val="■"/>
      <w:lvlJc w:val="left"/>
      <w:pPr>
        <w:ind w:left="4320" w:hanging="360"/>
      </w:pPr>
    </w:lvl>
    <w:lvl w:ilvl="6" w:tplc="52E8092E">
      <w:start w:val="1"/>
      <w:numFmt w:val="bullet"/>
      <w:lvlText w:val="●"/>
      <w:lvlJc w:val="left"/>
      <w:pPr>
        <w:ind w:left="5040" w:hanging="360"/>
      </w:pPr>
    </w:lvl>
    <w:lvl w:ilvl="7" w:tplc="82743954">
      <w:start w:val="1"/>
      <w:numFmt w:val="bullet"/>
      <w:lvlText w:val="●"/>
      <w:lvlJc w:val="left"/>
      <w:pPr>
        <w:ind w:left="5760" w:hanging="360"/>
      </w:pPr>
    </w:lvl>
    <w:lvl w:ilvl="8" w:tplc="CCD6ECF8">
      <w:start w:val="1"/>
      <w:numFmt w:val="bullet"/>
      <w:lvlText w:val="●"/>
      <w:lvlJc w:val="left"/>
      <w:pPr>
        <w:ind w:left="6480" w:hanging="360"/>
      </w:pPr>
    </w:lvl>
  </w:abstractNum>
  <w:num w:numId="1" w16cid:durableId="2087415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02E"/>
    <w:rsid w:val="00576278"/>
    <w:rsid w:val="00611AF0"/>
    <w:rsid w:val="00B23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016E16A"/>
  <w15:docId w15:val="{6E0603FE-A2ED-5341-8CD3-AC43108F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2630</Words>
  <Characters>14994</Characters>
  <Application>Microsoft Office Word</Application>
  <DocSecurity>0</DocSecurity>
  <Lines>348</Lines>
  <Paragraphs>200</Paragraphs>
  <ScaleCrop>false</ScaleCrop>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Christine Harvey, REALTOR®</cp:lastModifiedBy>
  <cp:revision>2</cp:revision>
  <dcterms:created xsi:type="dcterms:W3CDTF">2026-08-27T03:40:00Z</dcterms:created>
  <dcterms:modified xsi:type="dcterms:W3CDTF">2026-08-27T21:56:00Z</dcterms:modified>
</cp:coreProperties>
</file>