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51E44" w14:textId="77777777" w:rsidR="003C4F99" w:rsidRPr="003C4F99" w:rsidRDefault="003C4F99" w:rsidP="003C4F99">
      <w:pPr>
        <w:spacing w:before="100" w:beforeAutospacing="1" w:after="100" w:afterAutospacing="1"/>
        <w:outlineLvl w:val="0"/>
        <w:rPr>
          <w:rFonts w:ascii="Times" w:eastAsia="Times New Roman" w:hAnsi="Times" w:cs="Times New Roman"/>
          <w:b/>
          <w:bCs/>
          <w:kern w:val="36"/>
        </w:rPr>
      </w:pPr>
      <w:r w:rsidRPr="003C4F99">
        <w:rPr>
          <w:rFonts w:ascii="Times" w:eastAsia="Times New Roman" w:hAnsi="Times" w:cs="Times New Roman"/>
          <w:b/>
          <w:bCs/>
          <w:kern w:val="36"/>
        </w:rPr>
        <w:t xml:space="preserve">Protocols </w:t>
      </w:r>
    </w:p>
    <w:p w14:paraId="4B06C71B" w14:textId="77777777" w:rsidR="003C4F99" w:rsidRDefault="003C4F99" w:rsidP="003C4F99">
      <w:pPr>
        <w:spacing w:before="100" w:beforeAutospacing="1" w:after="100" w:afterAutospacing="1"/>
        <w:outlineLvl w:val="1"/>
        <w:rPr>
          <w:rFonts w:ascii="Arial" w:eastAsia="Times New Roman" w:hAnsi="Arial" w:cs="Arial"/>
          <w:b/>
          <w:bCs/>
        </w:rPr>
      </w:pPr>
      <w:r w:rsidRPr="003C4F99">
        <w:rPr>
          <w:rFonts w:ascii="Arial" w:eastAsia="Times New Roman" w:hAnsi="Arial" w:cs="Arial"/>
          <w:b/>
          <w:bCs/>
        </w:rPr>
        <w:t>Internal transcribed spacer region (ITS) region</w:t>
      </w:r>
    </w:p>
    <w:p w14:paraId="5E113DAF" w14:textId="77777777" w:rsidR="0003075A" w:rsidRPr="003C4F99" w:rsidRDefault="0003075A" w:rsidP="003C4F99">
      <w:pPr>
        <w:spacing w:before="100" w:beforeAutospacing="1" w:after="100" w:afterAutospacing="1"/>
        <w:outlineLvl w:val="1"/>
        <w:rPr>
          <w:rFonts w:ascii="Times" w:eastAsia="Times New Roman" w:hAnsi="Times" w:cs="Times New Roman"/>
          <w:b/>
          <w:bCs/>
          <w:i/>
        </w:rPr>
      </w:pPr>
      <w:r>
        <w:rPr>
          <w:rFonts w:ascii="Times" w:hAnsi="Times" w:cs="Times New Roman"/>
          <w:i/>
        </w:rPr>
        <w:t xml:space="preserve">Niklaus J. </w:t>
      </w:r>
      <w:r w:rsidRPr="0003075A">
        <w:rPr>
          <w:rFonts w:ascii="Times" w:hAnsi="Times" w:cs="Times New Roman"/>
          <w:i/>
        </w:rPr>
        <w:t xml:space="preserve">Grünwald, </w:t>
      </w:r>
      <w:r>
        <w:rPr>
          <w:rFonts w:ascii="Times" w:hAnsi="Times" w:cs="Times New Roman"/>
          <w:i/>
        </w:rPr>
        <w:t>Frank N.</w:t>
      </w:r>
      <w:r w:rsidRPr="0003075A">
        <w:rPr>
          <w:rFonts w:ascii="Times" w:hAnsi="Times" w:cs="Times New Roman"/>
          <w:i/>
        </w:rPr>
        <w:t xml:space="preserve"> Martin, </w:t>
      </w:r>
      <w:r>
        <w:rPr>
          <w:rFonts w:ascii="Times" w:hAnsi="Times" w:cs="Times New Roman"/>
          <w:i/>
        </w:rPr>
        <w:t>and Meg M. Larsen (2013)</w:t>
      </w:r>
    </w:p>
    <w:p w14:paraId="56784B79" w14:textId="77777777" w:rsidR="003C4F99" w:rsidRDefault="003C4F99" w:rsidP="003C4F99">
      <w:pPr>
        <w:spacing w:before="100" w:beforeAutospacing="1" w:after="100" w:afterAutospacing="1"/>
        <w:rPr>
          <w:rFonts w:ascii="Times" w:hAnsi="Times" w:cs="Times New Roman"/>
        </w:rPr>
      </w:pPr>
      <w:r w:rsidRPr="003C4F99">
        <w:rPr>
          <w:rFonts w:ascii="Arial" w:hAnsi="Arial" w:cs="Arial"/>
        </w:rPr>
        <w:t>The nuclear ribosomal RNA (rRNA) genes (small subun</w:t>
      </w:r>
      <w:r>
        <w:rPr>
          <w:rFonts w:ascii="Arial" w:hAnsi="Arial" w:cs="Arial"/>
        </w:rPr>
        <w:t>it, large subunit and 5.8S) are o</w:t>
      </w:r>
      <w:r w:rsidRPr="003C4F99">
        <w:rPr>
          <w:rFonts w:ascii="Arial" w:hAnsi="Arial" w:cs="Arial"/>
        </w:rPr>
        <w:t>rganized in a cluster but separated by two internal transcribed spacer regions (ITS1 and ITS2):</w:t>
      </w:r>
    </w:p>
    <w:p w14:paraId="5FF4462F" w14:textId="77777777" w:rsidR="003C4F99" w:rsidRDefault="003C4F99" w:rsidP="003C4F99">
      <w:pPr>
        <w:spacing w:before="100" w:beforeAutospacing="1" w:after="100" w:afterAutospacing="1"/>
        <w:jc w:val="center"/>
        <w:rPr>
          <w:rFonts w:ascii="Arial" w:hAnsi="Arial" w:cs="Arial"/>
        </w:rPr>
      </w:pPr>
      <w:r>
        <w:rPr>
          <w:rFonts w:ascii="Arial" w:hAnsi="Arial" w:cs="Arial"/>
          <w:noProof/>
        </w:rPr>
        <w:drawing>
          <wp:inline distT="0" distB="0" distL="0" distR="0" wp14:anchorId="6E1FD78C" wp14:editId="569D135D">
            <wp:extent cx="5943600" cy="280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gif"/>
                    <pic:cNvPicPr/>
                  </pic:nvPicPr>
                  <pic:blipFill>
                    <a:blip r:embed="rId9">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39356220"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Typically, in eukaryotic genomes the rRNA genes are repeated in tandem arrays in the order of several hundred, or possibly thousands of copies (Hillis et al. 2006). The spacer regions ITS1 and ITS2 that are transcribed, but not translated, are more variable than the actual rRNA genes. The spacer regions diverge rapidly enough to be informative in distinguishing most (but not all) </w:t>
      </w:r>
      <w:r w:rsidRPr="003C4F99">
        <w:rPr>
          <w:rFonts w:ascii="Arial" w:hAnsi="Arial" w:cs="Arial"/>
          <w:i/>
          <w:iCs/>
        </w:rPr>
        <w:t xml:space="preserve">Phytophthora </w:t>
      </w:r>
      <w:r w:rsidRPr="003C4F99">
        <w:rPr>
          <w:rFonts w:ascii="Arial" w:hAnsi="Arial" w:cs="Arial"/>
        </w:rPr>
        <w:t xml:space="preserve">species (Cooke et al. 2000). Primers ITS4 and ITS6 are used for amplification of the ITS region in </w:t>
      </w:r>
      <w:r w:rsidRPr="003C4F99">
        <w:rPr>
          <w:rFonts w:ascii="Arial" w:hAnsi="Arial" w:cs="Arial"/>
          <w:i/>
          <w:iCs/>
        </w:rPr>
        <w:t xml:space="preserve">Phytophthora </w:t>
      </w:r>
      <w:r w:rsidRPr="003C4F99">
        <w:rPr>
          <w:rFonts w:ascii="Arial" w:hAnsi="Arial" w:cs="Arial"/>
        </w:rPr>
        <w:t>(White et al. 1990; Cooke and Duncan, 1997; Cooke et al. 2000).</w:t>
      </w:r>
      <w:r w:rsidRPr="003C4F99">
        <w:rPr>
          <w:rFonts w:ascii="Arial" w:hAnsi="Arial" w:cs="Arial"/>
          <w:i/>
          <w:iCs/>
        </w:rPr>
        <w:t xml:space="preserve"> </w:t>
      </w:r>
    </w:p>
    <w:p w14:paraId="5002326D"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Cox spacer region</w:t>
      </w:r>
    </w:p>
    <w:p w14:paraId="7F556067" w14:textId="77777777" w:rsidR="003C4F99" w:rsidRDefault="003C4F99" w:rsidP="003C4F99">
      <w:pPr>
        <w:spacing w:before="100" w:beforeAutospacing="1" w:after="100" w:afterAutospacing="1"/>
        <w:rPr>
          <w:rFonts w:ascii="Times" w:hAnsi="Times" w:cs="Times New Roman"/>
        </w:rPr>
      </w:pPr>
      <w:r w:rsidRPr="003C4F99">
        <w:rPr>
          <w:rFonts w:ascii="Arial" w:hAnsi="Arial" w:cs="Arial"/>
        </w:rPr>
        <w:t xml:space="preserve">The cytochrome c oxidase subunit 1 and 2 genes (cox1 and cox2, respectively) are present as a gene cluster (see highlighted area) on the mitochondrial chromosome in </w:t>
      </w:r>
      <w:r w:rsidRPr="003C4F99">
        <w:rPr>
          <w:rFonts w:ascii="Arial" w:hAnsi="Arial" w:cs="Arial"/>
          <w:i/>
          <w:iCs/>
        </w:rPr>
        <w:t>Phytophthora</w:t>
      </w:r>
      <w:r w:rsidRPr="003C4F99">
        <w:rPr>
          <w:rFonts w:ascii="Arial" w:hAnsi="Arial" w:cs="Arial"/>
        </w:rPr>
        <w:t xml:space="preserve"> (as well as </w:t>
      </w:r>
      <w:r w:rsidRPr="003C4F99">
        <w:rPr>
          <w:rFonts w:ascii="Arial" w:hAnsi="Arial" w:cs="Arial"/>
          <w:i/>
          <w:iCs/>
        </w:rPr>
        <w:t>Pythium</w:t>
      </w:r>
      <w:r w:rsidRPr="003C4F99">
        <w:rPr>
          <w:rFonts w:ascii="Arial" w:hAnsi="Arial" w:cs="Arial"/>
        </w:rPr>
        <w:t xml:space="preserve"> and many plant species)(Martin et al. 2007):</w:t>
      </w:r>
    </w:p>
    <w:p w14:paraId="09604356" w14:textId="77777777" w:rsidR="003C4F99" w:rsidRDefault="003C4F99" w:rsidP="003C4F99">
      <w:pPr>
        <w:spacing w:before="100" w:beforeAutospacing="1" w:after="100" w:afterAutospacing="1"/>
        <w:jc w:val="center"/>
        <w:rPr>
          <w:rFonts w:ascii="Times" w:hAnsi="Times" w:cs="Times New Roman"/>
        </w:rPr>
      </w:pPr>
      <w:r>
        <w:rPr>
          <w:rFonts w:ascii="Times" w:hAnsi="Times" w:cs="Times New Roman"/>
          <w:noProof/>
        </w:rPr>
        <w:lastRenderedPageBreak/>
        <w:drawing>
          <wp:inline distT="0" distB="0" distL="0" distR="0" wp14:anchorId="62FCBA37" wp14:editId="1480AB3F">
            <wp:extent cx="5943600" cy="523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6210"/>
                    </a:xfrm>
                    <a:prstGeom prst="rect">
                      <a:avLst/>
                    </a:prstGeom>
                  </pic:spPr>
                </pic:pic>
              </a:graphicData>
            </a:graphic>
          </wp:inline>
        </w:drawing>
      </w:r>
    </w:p>
    <w:p w14:paraId="4D03EDB8"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Due to interspecific sequence variation the spacer region between these two genes can be used for development of species-specific markers (Martin et al. 2004, Tooley et al. 2006) as well as for sequence-based identification of species. </w:t>
      </w:r>
    </w:p>
    <w:p w14:paraId="2AC37D84"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ITS-PCR</w:t>
      </w:r>
    </w:p>
    <w:p w14:paraId="28B30A58"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We generally do not isolate DNA, but instead obtain a tuft of mycelium from a culture. Scrape along the surface of a plate (1-2cm) toward the margins of a growing culture where sporangia are present on hyphae using a sterile, dry toothpick. Twirl toothpick into 100 µl PCR tube containing dH2O. Boil at 95.9°C for 5min. Proceed to PCR following conditions presented below:</w:t>
      </w:r>
    </w:p>
    <w:p w14:paraId="77A0A031"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Mix</w:t>
      </w:r>
      <w:r w:rsidRPr="003C4F99">
        <w:rPr>
          <w:rFonts w:ascii="Arial" w:hAnsi="Arial" w:cs="Arial"/>
        </w:rPr>
        <w:t xml:space="preserve">: </w:t>
      </w:r>
    </w:p>
    <w:tbl>
      <w:tblPr>
        <w:tblW w:w="44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04"/>
        <w:gridCol w:w="2438"/>
      </w:tblGrid>
      <w:tr w:rsidR="003C4F99" w:rsidRPr="003C4F99" w14:paraId="02F59F17" w14:textId="77777777" w:rsidTr="003C4F99">
        <w:trPr>
          <w:tblCellSpacing w:w="15" w:type="dxa"/>
        </w:trPr>
        <w:tc>
          <w:tcPr>
            <w:tcW w:w="3550" w:type="pct"/>
            <w:tcBorders>
              <w:top w:val="outset" w:sz="6" w:space="0" w:color="auto"/>
              <w:left w:val="outset" w:sz="6" w:space="0" w:color="auto"/>
              <w:bottom w:val="outset" w:sz="6" w:space="0" w:color="auto"/>
              <w:right w:val="outset" w:sz="6" w:space="0" w:color="auto"/>
            </w:tcBorders>
            <w:vAlign w:val="center"/>
            <w:hideMark/>
          </w:tcPr>
          <w:p w14:paraId="682E69EA"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Component</w:t>
            </w:r>
          </w:p>
        </w:tc>
        <w:tc>
          <w:tcPr>
            <w:tcW w:w="1450" w:type="pct"/>
            <w:tcBorders>
              <w:top w:val="outset" w:sz="6" w:space="0" w:color="auto"/>
              <w:left w:val="outset" w:sz="6" w:space="0" w:color="auto"/>
              <w:bottom w:val="outset" w:sz="6" w:space="0" w:color="auto"/>
              <w:right w:val="outset" w:sz="6" w:space="0" w:color="auto"/>
            </w:tcBorders>
            <w:vAlign w:val="center"/>
            <w:hideMark/>
          </w:tcPr>
          <w:p w14:paraId="57A2286C"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b/>
                <w:bCs/>
              </w:rPr>
              <w:t xml:space="preserve">Final concentration </w:t>
            </w:r>
          </w:p>
        </w:tc>
      </w:tr>
      <w:tr w:rsidR="003C4F99" w:rsidRPr="003C4F99" w14:paraId="1DB795E5"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4DF6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 xml:space="preserve">DNA (Toothpick)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AD55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1-3 ng/µl </w:t>
            </w:r>
          </w:p>
        </w:tc>
      </w:tr>
      <w:tr w:rsidR="003C4F99" w:rsidRPr="003C4F99" w14:paraId="5B392E3C"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FE2E83"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dNTP (2.0mM)</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1389"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200 µM</w:t>
            </w:r>
          </w:p>
        </w:tc>
      </w:tr>
      <w:tr w:rsidR="003C4F99" w:rsidRPr="003C4F99" w14:paraId="00D32672"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F87D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ITS6 10uM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C303B"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0.4 µM</w:t>
            </w:r>
          </w:p>
        </w:tc>
      </w:tr>
      <w:tr w:rsidR="003C4F99" w:rsidRPr="003C4F99" w14:paraId="648F3B6C"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76A32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ITS4 10uM stock</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EE54B"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0.4 µM</w:t>
            </w:r>
          </w:p>
        </w:tc>
      </w:tr>
      <w:tr w:rsidR="003C4F99" w:rsidRPr="003C4F99" w14:paraId="020BE1C4"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E77B85"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10 x Taq Buffer with 15mM MgCl2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A7C9F"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1 x</w:t>
            </w:r>
          </w:p>
        </w:tc>
      </w:tr>
      <w:tr w:rsidR="003C4F99" w:rsidRPr="003C4F99" w14:paraId="11649930"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E0D560"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Taq 5u/µl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68E0E"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0.05 u/µl</w:t>
            </w:r>
          </w:p>
        </w:tc>
      </w:tr>
      <w:tr w:rsidR="003C4F99" w:rsidRPr="003C4F99" w14:paraId="7B240C3A"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581B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DCA3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NA</w:t>
            </w:r>
          </w:p>
        </w:tc>
      </w:tr>
    </w:tbl>
    <w:p w14:paraId="30F60256"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Primers:</w:t>
      </w:r>
    </w:p>
    <w:tbl>
      <w:tblPr>
        <w:tblW w:w="3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3"/>
        <w:gridCol w:w="4809"/>
      </w:tblGrid>
      <w:tr w:rsidR="003C4F99" w:rsidRPr="003C4F99" w14:paraId="4ACCDA41" w14:textId="77777777" w:rsidTr="003C4F99">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14:paraId="68C45B0E"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Primer</w:t>
            </w:r>
          </w:p>
        </w:tc>
        <w:tc>
          <w:tcPr>
            <w:tcW w:w="4050" w:type="pct"/>
            <w:tcBorders>
              <w:top w:val="outset" w:sz="6" w:space="0" w:color="auto"/>
              <w:left w:val="outset" w:sz="6" w:space="0" w:color="auto"/>
              <w:bottom w:val="outset" w:sz="6" w:space="0" w:color="auto"/>
              <w:right w:val="outset" w:sz="6" w:space="0" w:color="auto"/>
            </w:tcBorders>
            <w:vAlign w:val="center"/>
            <w:hideMark/>
          </w:tcPr>
          <w:p w14:paraId="4FE622AB"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Sequence</w:t>
            </w:r>
          </w:p>
        </w:tc>
      </w:tr>
      <w:tr w:rsidR="003C4F99" w:rsidRPr="003C4F99" w14:paraId="2291E070"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DDCB2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ITS4: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855D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5’-TCCTCCGCTTATTGATATGC-3’</w:t>
            </w:r>
          </w:p>
        </w:tc>
      </w:tr>
      <w:tr w:rsidR="003C4F99" w:rsidRPr="003C4F99" w14:paraId="6FA8A83E"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5BFF87"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ITS6:</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6CBE3"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5’-GAAGGTGAAGTCGTAACAAGG-3’</w:t>
            </w:r>
          </w:p>
        </w:tc>
      </w:tr>
    </w:tbl>
    <w:p w14:paraId="344B3821"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Phytophthora</w:t>
      </w:r>
      <w:r w:rsidRPr="003C4F99">
        <w:rPr>
          <w:rFonts w:ascii="Arial" w:hAnsi="Arial" w:cs="Arial"/>
        </w:rPr>
        <w:t xml:space="preserve"> spp. typically yield PCR products in the range of 862-941bp. </w:t>
      </w:r>
    </w:p>
    <w:p w14:paraId="44B50927"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Program:</w:t>
      </w:r>
    </w:p>
    <w:tbl>
      <w:tblPr>
        <w:tblW w:w="47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0"/>
        <w:gridCol w:w="3019"/>
        <w:gridCol w:w="4792"/>
      </w:tblGrid>
      <w:tr w:rsidR="003C4F99" w:rsidRPr="003C4F99" w14:paraId="26783B49"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702CFBBA"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Step</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8C1F141"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Cycles</w:t>
            </w:r>
          </w:p>
        </w:tc>
        <w:tc>
          <w:tcPr>
            <w:tcW w:w="2700" w:type="pct"/>
            <w:tcBorders>
              <w:top w:val="outset" w:sz="6" w:space="0" w:color="auto"/>
              <w:left w:val="outset" w:sz="6" w:space="0" w:color="auto"/>
              <w:bottom w:val="outset" w:sz="6" w:space="0" w:color="auto"/>
              <w:right w:val="outset" w:sz="6" w:space="0" w:color="auto"/>
            </w:tcBorders>
            <w:vAlign w:val="center"/>
            <w:hideMark/>
          </w:tcPr>
          <w:p w14:paraId="135106A2"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Conditions</w:t>
            </w:r>
          </w:p>
        </w:tc>
      </w:tr>
      <w:tr w:rsidR="003C4F99" w:rsidRPr="003C4F99" w14:paraId="02219F74"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6D872F77"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1700" w:type="pct"/>
            <w:tcBorders>
              <w:top w:val="outset" w:sz="6" w:space="0" w:color="auto"/>
              <w:left w:val="outset" w:sz="6" w:space="0" w:color="auto"/>
              <w:bottom w:val="outset" w:sz="6" w:space="0" w:color="auto"/>
              <w:right w:val="outset" w:sz="6" w:space="0" w:color="auto"/>
            </w:tcBorders>
            <w:vAlign w:val="center"/>
            <w:hideMark/>
          </w:tcPr>
          <w:p w14:paraId="7634E129"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2700" w:type="pct"/>
            <w:tcBorders>
              <w:top w:val="outset" w:sz="6" w:space="0" w:color="auto"/>
              <w:left w:val="outset" w:sz="6" w:space="0" w:color="auto"/>
              <w:bottom w:val="outset" w:sz="6" w:space="0" w:color="auto"/>
              <w:right w:val="outset" w:sz="6" w:space="0" w:color="auto"/>
            </w:tcBorders>
            <w:vAlign w:val="center"/>
            <w:hideMark/>
          </w:tcPr>
          <w:p w14:paraId="65AEE8B0"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94C for 3min;</w:t>
            </w:r>
          </w:p>
        </w:tc>
      </w:tr>
      <w:tr w:rsidR="003C4F99" w:rsidRPr="003C4F99" w14:paraId="6185F195"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ECDC0"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2</w:t>
            </w:r>
            <w:r w:rsidRPr="003C4F99">
              <w:rPr>
                <w:rFonts w:ascii="Arial" w:eastAsia="Times New Roman" w:hAnsi="Arial" w:cs="Arial"/>
              </w:rPr>
              <w:br/>
              <w:t>3</w:t>
            </w:r>
            <w:r w:rsidRPr="003C4F99">
              <w:rPr>
                <w:rFonts w:ascii="Arial" w:eastAsia="Times New Roman" w:hAnsi="Arial" w:cs="Arial"/>
              </w:rPr>
              <w:b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829D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35 (repeat steps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963C8"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94C for 1min;</w:t>
            </w:r>
            <w:r w:rsidRPr="003C4F99">
              <w:rPr>
                <w:rFonts w:ascii="Arial" w:hAnsi="Arial" w:cs="Arial"/>
              </w:rPr>
              <w:br/>
              <w:t xml:space="preserve">55C for 1min, </w:t>
            </w:r>
            <w:r w:rsidRPr="003C4F99">
              <w:rPr>
                <w:rFonts w:ascii="Arial" w:hAnsi="Arial" w:cs="Arial"/>
              </w:rPr>
              <w:br/>
              <w:t>72C for 1min;</w:t>
            </w:r>
          </w:p>
        </w:tc>
      </w:tr>
      <w:tr w:rsidR="003C4F99" w:rsidRPr="003C4F99" w14:paraId="4ABA9F46"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91B9C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08FD5"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AD358"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72C for 10min;</w:t>
            </w:r>
          </w:p>
        </w:tc>
      </w:tr>
      <w:tr w:rsidR="003C4F99" w:rsidRPr="003C4F99" w14:paraId="1A3FF439"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7D2521"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667F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184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Store at -20C until used</w:t>
            </w:r>
          </w:p>
        </w:tc>
      </w:tr>
    </w:tbl>
    <w:p w14:paraId="2288F815"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Cox spacer PCR</w:t>
      </w:r>
    </w:p>
    <w:p w14:paraId="7BA208F2" w14:textId="77777777" w:rsidR="003C4F99" w:rsidRDefault="003C4F99" w:rsidP="003C4F99">
      <w:pPr>
        <w:spacing w:before="100" w:beforeAutospacing="1" w:after="100" w:afterAutospacing="1"/>
        <w:rPr>
          <w:rFonts w:ascii="Arial" w:hAnsi="Arial" w:cs="Arial"/>
        </w:rPr>
      </w:pPr>
      <w:r w:rsidRPr="003C4F99">
        <w:rPr>
          <w:rFonts w:ascii="Arial" w:hAnsi="Arial" w:cs="Arial"/>
        </w:rPr>
        <w:t xml:space="preserve">The primer annealing sites are in the flanking gene sequences and are specific for amplification of </w:t>
      </w:r>
      <w:r w:rsidRPr="003C4F99">
        <w:rPr>
          <w:rFonts w:ascii="Arial" w:hAnsi="Arial" w:cs="Arial"/>
          <w:i/>
          <w:iCs/>
        </w:rPr>
        <w:t>Phytophthora</w:t>
      </w:r>
      <w:r w:rsidRPr="003C4F99">
        <w:rPr>
          <w:rFonts w:ascii="Arial" w:hAnsi="Arial" w:cs="Arial"/>
        </w:rPr>
        <w:t xml:space="preserve"> spp. (they will not amplify the related genus </w:t>
      </w:r>
      <w:r w:rsidRPr="003C4F99">
        <w:rPr>
          <w:rFonts w:ascii="Arial" w:hAnsi="Arial" w:cs="Arial"/>
          <w:i/>
          <w:iCs/>
        </w:rPr>
        <w:t>Pythium</w:t>
      </w:r>
      <w:r w:rsidRPr="003C4F99">
        <w:rPr>
          <w:rFonts w:ascii="Arial" w:hAnsi="Arial" w:cs="Arial"/>
        </w:rPr>
        <w:t xml:space="preserve"> or plant DNA when the described amplification conditions are followed):</w:t>
      </w:r>
    </w:p>
    <w:p w14:paraId="123E394F" w14:textId="77777777" w:rsidR="003C4F99" w:rsidRDefault="003C4F99" w:rsidP="003C4F99">
      <w:pPr>
        <w:spacing w:before="100" w:beforeAutospacing="1" w:after="100" w:afterAutospacing="1"/>
        <w:jc w:val="center"/>
        <w:rPr>
          <w:rFonts w:ascii="Times" w:hAnsi="Times" w:cs="Times New Roman"/>
        </w:rPr>
      </w:pPr>
      <w:r>
        <w:rPr>
          <w:rFonts w:ascii="Times" w:hAnsi="Times" w:cs="Times New Roman"/>
          <w:noProof/>
        </w:rPr>
        <w:drawing>
          <wp:inline distT="0" distB="0" distL="0" distR="0" wp14:anchorId="27364C81" wp14:editId="6921C8AD">
            <wp:extent cx="5943600" cy="145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carto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inline>
        </w:drawing>
      </w:r>
    </w:p>
    <w:p w14:paraId="782935E1"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Several considerations when using this marker system:</w:t>
      </w:r>
    </w:p>
    <w:p w14:paraId="6005030E" w14:textId="77777777" w:rsidR="003C4F99" w:rsidRPr="003C4F99" w:rsidRDefault="003C4F99" w:rsidP="003C4F99">
      <w:pPr>
        <w:numPr>
          <w:ilvl w:val="0"/>
          <w:numId w:val="2"/>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The primers FMPhy-8b and FMPhy-10b should be used if amplification is done with DNA purified from infected plant tissue </w:t>
      </w:r>
    </w:p>
    <w:p w14:paraId="3B5315EA" w14:textId="77777777" w:rsidR="003C4F99" w:rsidRPr="003C4F99" w:rsidRDefault="003C4F99" w:rsidP="003C4F99">
      <w:pPr>
        <w:numPr>
          <w:ilvl w:val="1"/>
          <w:numId w:val="2"/>
        </w:numPr>
        <w:spacing w:before="100" w:beforeAutospacing="1" w:after="100" w:afterAutospacing="1"/>
        <w:rPr>
          <w:rFonts w:ascii="Times" w:eastAsia="Times New Roman" w:hAnsi="Times" w:cs="Times New Roman"/>
        </w:rPr>
      </w:pPr>
      <w:r w:rsidRPr="003C4F99">
        <w:rPr>
          <w:rFonts w:ascii="Arial" w:eastAsia="Times New Roman" w:hAnsi="Arial" w:cs="Arial"/>
        </w:rPr>
        <w:t>If amplification is done using DNA purified from single cultures the alternative primer listed below can be used for amplification (they will amplify sequences from Pythium but not plants) or for sequencing of templates.</w:t>
      </w:r>
      <w:r w:rsidRPr="003C4F99">
        <w:rPr>
          <w:rFonts w:ascii="Arial" w:eastAsia="Times New Roman" w:hAnsi="Arial" w:cs="Arial"/>
        </w:rPr>
        <w:br/>
        <w:t>The amplicons are in the range of approximately 460 bp in size (approximately 230 bp of spacer sequence), but can vary among species.</w:t>
      </w:r>
    </w:p>
    <w:p w14:paraId="7D7C8613" w14:textId="77777777" w:rsidR="003C4F99" w:rsidRPr="003C4F99" w:rsidRDefault="003C4F99" w:rsidP="003C4F99">
      <w:pPr>
        <w:numPr>
          <w:ilvl w:val="1"/>
          <w:numId w:val="2"/>
        </w:numPr>
        <w:spacing w:before="100" w:beforeAutospacing="1" w:after="100" w:afterAutospacing="1"/>
        <w:rPr>
          <w:rFonts w:ascii="Times" w:eastAsia="Times New Roman" w:hAnsi="Times" w:cs="Times New Roman"/>
        </w:rPr>
      </w:pPr>
      <w:r w:rsidRPr="003C4F99">
        <w:rPr>
          <w:rFonts w:ascii="Arial" w:eastAsia="Times New Roman" w:hAnsi="Arial" w:cs="Arial"/>
        </w:rPr>
        <w:t>There are several plant species that will give nonspecific background amplification if the proper amplification stringency is not followed. Techniques for validating amplification conditions are outlined below and should be followed if amplification is done from DNA extracted from infected plant tissue.</w:t>
      </w:r>
    </w:p>
    <w:p w14:paraId="2D307F77" w14:textId="77777777" w:rsidR="003C4F99" w:rsidRPr="003C4F99" w:rsidRDefault="003C4F99" w:rsidP="003C4F99">
      <w:pPr>
        <w:numPr>
          <w:ilvl w:val="0"/>
          <w:numId w:val="2"/>
        </w:numPr>
        <w:spacing w:before="100" w:beforeAutospacing="1" w:after="100" w:afterAutospacing="1"/>
        <w:rPr>
          <w:rFonts w:ascii="Times" w:eastAsia="Times New Roman" w:hAnsi="Times" w:cs="Times New Roman"/>
        </w:rPr>
      </w:pPr>
      <w:r w:rsidRPr="003C4F99">
        <w:rPr>
          <w:rFonts w:ascii="Arial" w:eastAsia="Times New Roman" w:hAnsi="Arial" w:cs="Arial"/>
        </w:rPr>
        <w:t>If DNA purified from single cultures is used the amplification stringency requirements are not as important</w:t>
      </w:r>
      <w:r w:rsidRPr="003C4F99">
        <w:rPr>
          <w:rFonts w:ascii="Arial" w:eastAsia="Times New Roman" w:hAnsi="Arial" w:cs="Arial"/>
        </w:rPr>
        <w:br/>
        <w:t xml:space="preserve">In some cases the pathogen target DNA concentration is low relative to host plant DNA, so a second round of amplification using the same primers may be necessary to visualize the </w:t>
      </w:r>
      <w:r w:rsidRPr="003C4F99">
        <w:rPr>
          <w:rFonts w:ascii="Arial" w:eastAsia="Times New Roman" w:hAnsi="Arial" w:cs="Arial"/>
          <w:i/>
          <w:iCs/>
        </w:rPr>
        <w:t>Phytophthora</w:t>
      </w:r>
      <w:r w:rsidRPr="003C4F99">
        <w:rPr>
          <w:rFonts w:ascii="Arial" w:eastAsia="Times New Roman" w:hAnsi="Arial" w:cs="Arial"/>
        </w:rPr>
        <w:t xml:space="preserve"> genus specific amplicon.</w:t>
      </w:r>
      <w:r w:rsidRPr="003C4F99">
        <w:rPr>
          <w:rFonts w:ascii="Arial" w:eastAsia="Times New Roman" w:hAnsi="Arial" w:cs="Arial"/>
        </w:rPr>
        <w:br/>
        <w:t>A low level of intraspecific variation in sequences has been identified for some species, so it is possible to have several different sequence entries in the database for the same species.</w:t>
      </w:r>
    </w:p>
    <w:p w14:paraId="3896B5BF" w14:textId="77777777" w:rsidR="003C4F99" w:rsidRPr="003C4F99" w:rsidRDefault="003C4F99" w:rsidP="003C4F99">
      <w:pPr>
        <w:numPr>
          <w:ilvl w:val="0"/>
          <w:numId w:val="2"/>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When multiple </w:t>
      </w:r>
      <w:r w:rsidRPr="003C4F99">
        <w:rPr>
          <w:rFonts w:ascii="Arial" w:eastAsia="Times New Roman" w:hAnsi="Arial" w:cs="Arial"/>
          <w:i/>
          <w:iCs/>
        </w:rPr>
        <w:t>Phytophthora</w:t>
      </w:r>
      <w:r w:rsidRPr="003C4F99">
        <w:rPr>
          <w:rFonts w:ascii="Arial" w:eastAsia="Times New Roman" w:hAnsi="Arial" w:cs="Arial"/>
        </w:rPr>
        <w:t xml:space="preserve"> spp. are present in an infected lesion the amplicons will need to be cloned prior to sequencing.</w:t>
      </w:r>
    </w:p>
    <w:p w14:paraId="08C73F1A" w14:textId="77777777" w:rsidR="003C4F99" w:rsidRPr="003C4F99" w:rsidRDefault="003C4F99" w:rsidP="003C4F99">
      <w:pPr>
        <w:numPr>
          <w:ilvl w:val="0"/>
          <w:numId w:val="2"/>
        </w:numPr>
        <w:spacing w:before="100" w:beforeAutospacing="1" w:after="100" w:afterAutospacing="1"/>
        <w:rPr>
          <w:rFonts w:ascii="Times" w:eastAsia="Times New Roman" w:hAnsi="Times" w:cs="Times New Roman"/>
        </w:rPr>
      </w:pPr>
      <w:r w:rsidRPr="003C4F99">
        <w:rPr>
          <w:rFonts w:ascii="Arial" w:eastAsia="Times New Roman" w:hAnsi="Arial" w:cs="Arial"/>
        </w:rPr>
        <w:t>RFLP analysis of this amplicon can be used to differentiate many, but not all species. This data is currently being pulled together and will be available at a later date on the Phytophthora database website (</w:t>
      </w:r>
      <w:r w:rsidRPr="003C4F99">
        <w:rPr>
          <w:rFonts w:ascii="Arial" w:eastAsia="Times New Roman" w:hAnsi="Arial" w:cs="Arial"/>
        </w:rPr>
        <w:fldChar w:fldCharType="begin"/>
      </w:r>
      <w:r w:rsidRPr="003C4F99">
        <w:rPr>
          <w:rFonts w:ascii="Arial" w:eastAsia="Times New Roman" w:hAnsi="Arial" w:cs="Arial"/>
        </w:rPr>
        <w:instrText xml:space="preserve"> HYPERLINK "http://phytophthora-id.org/%5C%5Cwww.phytophthoradb.org" \t "_blank" </w:instrText>
      </w:r>
      <w:r w:rsidRPr="003C4F99">
        <w:rPr>
          <w:rFonts w:ascii="Arial" w:eastAsia="Times New Roman" w:hAnsi="Arial" w:cs="Arial"/>
        </w:rPr>
      </w:r>
      <w:r w:rsidRPr="003C4F99">
        <w:rPr>
          <w:rFonts w:ascii="Arial" w:eastAsia="Times New Roman" w:hAnsi="Arial" w:cs="Arial"/>
        </w:rPr>
        <w:fldChar w:fldCharType="separate"/>
      </w:r>
      <w:r w:rsidRPr="003C4F99">
        <w:rPr>
          <w:rFonts w:ascii="Arial" w:eastAsia="Times New Roman" w:hAnsi="Arial" w:cs="Arial"/>
          <w:color w:val="0000FF"/>
          <w:u w:val="single"/>
        </w:rPr>
        <w:t>www.phytophthoradb.org</w:t>
      </w:r>
      <w:r w:rsidRPr="003C4F99">
        <w:rPr>
          <w:rFonts w:ascii="Arial" w:eastAsia="Times New Roman" w:hAnsi="Arial" w:cs="Arial"/>
        </w:rPr>
        <w:fldChar w:fldCharType="end"/>
      </w:r>
      <w:r w:rsidRPr="003C4F99">
        <w:rPr>
          <w:rFonts w:ascii="Arial" w:eastAsia="Times New Roman" w:hAnsi="Arial" w:cs="Arial"/>
        </w:rPr>
        <w:t xml:space="preserve">). </w:t>
      </w:r>
    </w:p>
    <w:p w14:paraId="5ECC6C56"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First Amplification Master Mix</w:t>
      </w:r>
      <w:r w:rsidRPr="003C4F99">
        <w:rPr>
          <w:rFonts w:ascii="Arial" w:hAnsi="Arial" w:cs="Arial"/>
        </w:rPr>
        <w:t xml:space="preserve">: </w:t>
      </w:r>
    </w:p>
    <w:tbl>
      <w:tblPr>
        <w:tblW w:w="4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67"/>
        <w:gridCol w:w="2301"/>
      </w:tblGrid>
      <w:tr w:rsidR="003C4F99" w:rsidRPr="003C4F99" w14:paraId="767EDD08" w14:textId="77777777" w:rsidTr="003C4F99">
        <w:trPr>
          <w:tblCellSpacing w:w="15" w:type="dxa"/>
        </w:trPr>
        <w:tc>
          <w:tcPr>
            <w:tcW w:w="3550" w:type="pct"/>
            <w:tcBorders>
              <w:top w:val="outset" w:sz="6" w:space="0" w:color="auto"/>
              <w:left w:val="outset" w:sz="6" w:space="0" w:color="auto"/>
              <w:bottom w:val="outset" w:sz="6" w:space="0" w:color="auto"/>
              <w:right w:val="outset" w:sz="6" w:space="0" w:color="auto"/>
            </w:tcBorders>
            <w:vAlign w:val="center"/>
            <w:hideMark/>
          </w:tcPr>
          <w:p w14:paraId="6364F94E"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Component</w:t>
            </w:r>
          </w:p>
        </w:tc>
        <w:tc>
          <w:tcPr>
            <w:tcW w:w="1450" w:type="pct"/>
            <w:tcBorders>
              <w:top w:val="outset" w:sz="6" w:space="0" w:color="auto"/>
              <w:left w:val="outset" w:sz="6" w:space="0" w:color="auto"/>
              <w:bottom w:val="outset" w:sz="6" w:space="0" w:color="auto"/>
              <w:right w:val="outset" w:sz="6" w:space="0" w:color="auto"/>
            </w:tcBorders>
            <w:vAlign w:val="center"/>
            <w:hideMark/>
          </w:tcPr>
          <w:p w14:paraId="33BD0BE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b/>
                <w:bCs/>
              </w:rPr>
              <w:t xml:space="preserve">Final concentration </w:t>
            </w:r>
          </w:p>
        </w:tc>
      </w:tr>
      <w:tr w:rsidR="003C4F99" w:rsidRPr="003C4F99" w14:paraId="033DA21D"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F2719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dNTP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DA207"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0.5 µl</w:t>
            </w:r>
          </w:p>
        </w:tc>
      </w:tr>
      <w:tr w:rsidR="003C4F99" w:rsidRPr="003C4F99" w14:paraId="1906129A"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80F585"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FMPhy-8b (12.5 µM)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7D7FE"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2.0 µl </w:t>
            </w:r>
          </w:p>
        </w:tc>
      </w:tr>
      <w:tr w:rsidR="003C4F99" w:rsidRPr="003C4F99" w14:paraId="6BD961AA"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63E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FMPhy-10b (12.5 µM)</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A6DF6"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2.0 µl</w:t>
            </w:r>
          </w:p>
        </w:tc>
      </w:tr>
      <w:tr w:rsidR="003C4F99" w:rsidRPr="003C4F99" w14:paraId="503C13C0"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494CC"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MgCl2 (3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D0816"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3.0 µl</w:t>
            </w:r>
          </w:p>
        </w:tc>
      </w:tr>
      <w:tr w:rsidR="003C4F99" w:rsidRPr="003C4F99" w14:paraId="3943A8C8"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CE8BD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AmpliTaq (N8080172)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7577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0.2 µl </w:t>
            </w:r>
          </w:p>
        </w:tc>
      </w:tr>
      <w:tr w:rsidR="003C4F99" w:rsidRPr="003C4F99" w14:paraId="33FDBE53"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EC2B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Glycerol (50%; Roche cat. # 100 647)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1D4CF"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1.0 µl </w:t>
            </w:r>
          </w:p>
        </w:tc>
      </w:tr>
      <w:tr w:rsidR="003C4F99" w:rsidRPr="003C4F99" w14:paraId="7CAEF770"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B47A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Buffer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9834E"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2.5 µl </w:t>
            </w:r>
          </w:p>
        </w:tc>
      </w:tr>
      <w:tr w:rsidR="003C4F99" w:rsidRPr="003C4F99" w14:paraId="5E936868"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7750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dWater (Sigma cat. # W4502)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6D2F"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to final volume of 25 µl</w:t>
            </w:r>
          </w:p>
        </w:tc>
      </w:tr>
    </w:tbl>
    <w:p w14:paraId="581950CC"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Primers:</w:t>
      </w:r>
    </w:p>
    <w:tbl>
      <w:tblPr>
        <w:tblW w:w="3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3"/>
        <w:gridCol w:w="4809"/>
      </w:tblGrid>
      <w:tr w:rsidR="003C4F99" w:rsidRPr="003C4F99" w14:paraId="6255CDD5" w14:textId="77777777" w:rsidTr="003C4F99">
        <w:trPr>
          <w:tblCellSpacing w:w="15" w:type="dxa"/>
        </w:trPr>
        <w:tc>
          <w:tcPr>
            <w:tcW w:w="950" w:type="pct"/>
            <w:tcBorders>
              <w:top w:val="outset" w:sz="6" w:space="0" w:color="auto"/>
              <w:left w:val="outset" w:sz="6" w:space="0" w:color="auto"/>
              <w:bottom w:val="outset" w:sz="6" w:space="0" w:color="auto"/>
              <w:right w:val="outset" w:sz="6" w:space="0" w:color="auto"/>
            </w:tcBorders>
            <w:vAlign w:val="center"/>
            <w:hideMark/>
          </w:tcPr>
          <w:p w14:paraId="5E3D74FB"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Primer</w:t>
            </w:r>
          </w:p>
        </w:tc>
        <w:tc>
          <w:tcPr>
            <w:tcW w:w="4050" w:type="pct"/>
            <w:tcBorders>
              <w:top w:val="outset" w:sz="6" w:space="0" w:color="auto"/>
              <w:left w:val="outset" w:sz="6" w:space="0" w:color="auto"/>
              <w:bottom w:val="outset" w:sz="6" w:space="0" w:color="auto"/>
              <w:right w:val="outset" w:sz="6" w:space="0" w:color="auto"/>
            </w:tcBorders>
            <w:vAlign w:val="center"/>
            <w:hideMark/>
          </w:tcPr>
          <w:p w14:paraId="76BD96F9"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Sequence</w:t>
            </w:r>
          </w:p>
        </w:tc>
      </w:tr>
      <w:tr w:rsidR="003C4F99" w:rsidRPr="003C4F99" w14:paraId="6851DAAB"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65C7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FMPhy-8b:</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707C5"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5’-AAAAGAGAAGGTGTTTTTTATGGA-3’</w:t>
            </w:r>
          </w:p>
        </w:tc>
      </w:tr>
      <w:tr w:rsidR="003C4F99" w:rsidRPr="003C4F99" w14:paraId="3E06450D"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EC49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FMPhy-10b</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9837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5’-GCAAAAGCACTAAAAATTAAATATAA-3’</w:t>
            </w:r>
          </w:p>
        </w:tc>
      </w:tr>
    </w:tbl>
    <w:p w14:paraId="1193DA1E"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Program:</w:t>
      </w:r>
    </w:p>
    <w:tbl>
      <w:tblPr>
        <w:tblW w:w="36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1"/>
        <w:gridCol w:w="2342"/>
        <w:gridCol w:w="3717"/>
      </w:tblGrid>
      <w:tr w:rsidR="003C4F99" w:rsidRPr="003C4F99" w14:paraId="414D4E28"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702374EE"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Step</w:t>
            </w:r>
          </w:p>
        </w:tc>
        <w:tc>
          <w:tcPr>
            <w:tcW w:w="1700" w:type="pct"/>
            <w:tcBorders>
              <w:top w:val="outset" w:sz="6" w:space="0" w:color="auto"/>
              <w:left w:val="outset" w:sz="6" w:space="0" w:color="auto"/>
              <w:bottom w:val="outset" w:sz="6" w:space="0" w:color="auto"/>
              <w:right w:val="outset" w:sz="6" w:space="0" w:color="auto"/>
            </w:tcBorders>
            <w:vAlign w:val="center"/>
            <w:hideMark/>
          </w:tcPr>
          <w:p w14:paraId="1B49CBF8"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Cycles</w:t>
            </w:r>
          </w:p>
        </w:tc>
        <w:tc>
          <w:tcPr>
            <w:tcW w:w="2700" w:type="pct"/>
            <w:tcBorders>
              <w:top w:val="outset" w:sz="6" w:space="0" w:color="auto"/>
              <w:left w:val="outset" w:sz="6" w:space="0" w:color="auto"/>
              <w:bottom w:val="outset" w:sz="6" w:space="0" w:color="auto"/>
              <w:right w:val="outset" w:sz="6" w:space="0" w:color="auto"/>
            </w:tcBorders>
            <w:vAlign w:val="center"/>
            <w:hideMark/>
          </w:tcPr>
          <w:p w14:paraId="7922A628"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Conditions</w:t>
            </w:r>
          </w:p>
        </w:tc>
      </w:tr>
      <w:tr w:rsidR="003C4F99" w:rsidRPr="003C4F99" w14:paraId="2458349A"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4DBC37A9"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1700" w:type="pct"/>
            <w:tcBorders>
              <w:top w:val="outset" w:sz="6" w:space="0" w:color="auto"/>
              <w:left w:val="outset" w:sz="6" w:space="0" w:color="auto"/>
              <w:bottom w:val="outset" w:sz="6" w:space="0" w:color="auto"/>
              <w:right w:val="outset" w:sz="6" w:space="0" w:color="auto"/>
            </w:tcBorders>
            <w:vAlign w:val="center"/>
            <w:hideMark/>
          </w:tcPr>
          <w:p w14:paraId="48B0342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2700" w:type="pct"/>
            <w:tcBorders>
              <w:top w:val="outset" w:sz="6" w:space="0" w:color="auto"/>
              <w:left w:val="outset" w:sz="6" w:space="0" w:color="auto"/>
              <w:bottom w:val="outset" w:sz="6" w:space="0" w:color="auto"/>
              <w:right w:val="outset" w:sz="6" w:space="0" w:color="auto"/>
            </w:tcBorders>
            <w:vAlign w:val="center"/>
            <w:hideMark/>
          </w:tcPr>
          <w:p w14:paraId="2ACD62E8"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95C for 3min;</w:t>
            </w:r>
          </w:p>
        </w:tc>
      </w:tr>
      <w:tr w:rsidR="003C4F99" w:rsidRPr="003C4F99" w14:paraId="0EC70EAB"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6B503"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2</w:t>
            </w:r>
            <w:r w:rsidRPr="003C4F99">
              <w:rPr>
                <w:rFonts w:ascii="Arial" w:eastAsia="Times New Roman" w:hAnsi="Arial" w:cs="Arial"/>
              </w:rPr>
              <w:br/>
              <w:t>3</w:t>
            </w:r>
            <w:r w:rsidRPr="003C4F99">
              <w:rPr>
                <w:rFonts w:ascii="Arial" w:eastAsia="Times New Roman" w:hAnsi="Arial" w:cs="Arial"/>
              </w:rPr>
              <w:b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B0F5A"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40 (repeat steps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8D2AE"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95C for 1min;</w:t>
            </w:r>
            <w:r w:rsidRPr="003C4F99">
              <w:rPr>
                <w:rFonts w:ascii="Arial" w:hAnsi="Arial" w:cs="Arial"/>
              </w:rPr>
              <w:br/>
              <w:t xml:space="preserve">65.5C for 1min, </w:t>
            </w:r>
            <w:r w:rsidRPr="003C4F99">
              <w:rPr>
                <w:rFonts w:ascii="Arial" w:hAnsi="Arial" w:cs="Arial"/>
              </w:rPr>
              <w:br/>
              <w:t>72C for 1min;</w:t>
            </w:r>
          </w:p>
        </w:tc>
      </w:tr>
      <w:tr w:rsidR="003C4F99" w:rsidRPr="003C4F99" w14:paraId="0399076D"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A651B"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56C0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D9990"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72C for 5min;</w:t>
            </w:r>
          </w:p>
        </w:tc>
      </w:tr>
      <w:tr w:rsidR="003C4F99" w:rsidRPr="003C4F99" w14:paraId="3AB48692"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BE9978"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26543"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39EEC"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Store at -20C until used</w:t>
            </w:r>
          </w:p>
        </w:tc>
      </w:tr>
    </w:tbl>
    <w:p w14:paraId="3A9B69C7"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Alternative primers:</w:t>
      </w:r>
    </w:p>
    <w:p w14:paraId="7735CFDB"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FMPh-8 (dAAGGTGTTTTTTATGGACAATGTA) – first 17 bp is the 3’ end of FMPhy-8b</w:t>
      </w:r>
    </w:p>
    <w:p w14:paraId="6673F938"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Amplification with this primer and FMPhy-10b is more robust than FMPhy-8b under the amplification conditions used and will generate greater amounts of amplified product. One possible reason for this is the higher stringency requirements for FMPhy-8b + FMPhy-10b reduces the amount of product amplification.</w:t>
      </w:r>
    </w:p>
    <w:p w14:paraId="0A2CD282"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This primer pair should be used with caution where the presence of a genus-specific band alone is used for diagnostic purposes.</w:t>
      </w:r>
      <w:r w:rsidRPr="003C4F99">
        <w:rPr>
          <w:rFonts w:ascii="Times" w:eastAsia="Times New Roman" w:hAnsi="Times" w:cs="Times New Roman"/>
        </w:rPr>
        <w:t xml:space="preserve"> </w:t>
      </w:r>
    </w:p>
    <w:p w14:paraId="74946DAF" w14:textId="77777777" w:rsidR="003C4F99" w:rsidRPr="003C4F99" w:rsidRDefault="003C4F99" w:rsidP="003C4F99">
      <w:pPr>
        <w:numPr>
          <w:ilvl w:val="1"/>
          <w:numId w:val="3"/>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While they do not amplify the plant species that have been tested, they will amplify </w:t>
      </w:r>
      <w:r w:rsidRPr="003C4F99">
        <w:rPr>
          <w:rFonts w:ascii="Arial" w:eastAsia="Times New Roman" w:hAnsi="Arial" w:cs="Arial"/>
          <w:i/>
          <w:iCs/>
        </w:rPr>
        <w:t>Pythium</w:t>
      </w:r>
      <w:r w:rsidRPr="003C4F99">
        <w:rPr>
          <w:rFonts w:ascii="Arial" w:eastAsia="Times New Roman" w:hAnsi="Arial" w:cs="Arial"/>
        </w:rPr>
        <w:t xml:space="preserve"> spp.</w:t>
      </w:r>
    </w:p>
    <w:p w14:paraId="7D40D612" w14:textId="77777777" w:rsidR="003C4F99" w:rsidRPr="003C4F99" w:rsidRDefault="003C4F99" w:rsidP="003C4F99">
      <w:pPr>
        <w:numPr>
          <w:ilvl w:val="1"/>
          <w:numId w:val="3"/>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Since </w:t>
      </w:r>
      <w:r w:rsidRPr="003C4F99">
        <w:rPr>
          <w:rFonts w:ascii="Arial" w:eastAsia="Times New Roman" w:hAnsi="Arial" w:cs="Arial"/>
          <w:i/>
          <w:iCs/>
        </w:rPr>
        <w:t>Pythium</w:t>
      </w:r>
      <w:r w:rsidRPr="003C4F99">
        <w:rPr>
          <w:rFonts w:ascii="Arial" w:eastAsia="Times New Roman" w:hAnsi="Arial" w:cs="Arial"/>
        </w:rPr>
        <w:t xml:space="preserve"> spp. are found predominantly to cause diseases of below ground plant parts, for detection of foliar diseases caused by </w:t>
      </w:r>
      <w:r w:rsidRPr="003C4F99">
        <w:rPr>
          <w:rFonts w:ascii="Arial" w:eastAsia="Times New Roman" w:hAnsi="Arial" w:cs="Arial"/>
          <w:i/>
          <w:iCs/>
        </w:rPr>
        <w:t>Phytophthora</w:t>
      </w:r>
      <w:r w:rsidRPr="003C4F99">
        <w:rPr>
          <w:rFonts w:ascii="Arial" w:eastAsia="Times New Roman" w:hAnsi="Arial" w:cs="Arial"/>
        </w:rPr>
        <w:t xml:space="preserve"> spp. they should work well.</w:t>
      </w:r>
    </w:p>
    <w:p w14:paraId="3B61685A"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Good amplification at 3 or 4 mM Mg, weaker at 2 mM and none at 1 mM</w:t>
      </w:r>
    </w:p>
    <w:p w14:paraId="22ED0942"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Amplification done using the same procedure as FMPhy-8b + 10B except that 3.5 µl of 50% glycerol was added. </w:t>
      </w:r>
    </w:p>
    <w:p w14:paraId="7A88E42B" w14:textId="77777777" w:rsidR="003C4F99" w:rsidRPr="003C4F99" w:rsidRDefault="003C4F99" w:rsidP="003C4F99">
      <w:pPr>
        <w:numPr>
          <w:ilvl w:val="0"/>
          <w:numId w:val="3"/>
        </w:numPr>
        <w:spacing w:before="100" w:beforeAutospacing="1" w:after="100" w:afterAutospacing="1"/>
        <w:rPr>
          <w:rFonts w:ascii="Times" w:eastAsia="Times New Roman" w:hAnsi="Times" w:cs="Times New Roman"/>
        </w:rPr>
      </w:pPr>
      <w:r w:rsidRPr="003C4F99">
        <w:rPr>
          <w:rFonts w:ascii="Arial" w:eastAsia="Times New Roman" w:hAnsi="Arial" w:cs="Arial"/>
        </w:rPr>
        <w:t>This primer can also be used as a nested sequencing primer in the event the amplification with FMPhy-8b and FMPhy-10b did not yield a single amplicon.</w:t>
      </w:r>
    </w:p>
    <w:p w14:paraId="70A6327D"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Notes on amplification</w:t>
      </w:r>
      <w:r w:rsidRPr="003C4F99">
        <w:rPr>
          <w:rFonts w:ascii="Arial" w:hAnsi="Arial" w:cs="Arial"/>
        </w:rPr>
        <w:t>:</w:t>
      </w:r>
    </w:p>
    <w:p w14:paraId="32EBE2C4" w14:textId="77777777" w:rsidR="003C4F99" w:rsidRPr="003C4F99" w:rsidRDefault="003C4F99" w:rsidP="003C4F99">
      <w:pPr>
        <w:numPr>
          <w:ilvl w:val="0"/>
          <w:numId w:val="4"/>
        </w:numPr>
        <w:spacing w:before="100" w:beforeAutospacing="1" w:after="100" w:afterAutospacing="1"/>
        <w:rPr>
          <w:rFonts w:ascii="Times" w:eastAsia="Times New Roman" w:hAnsi="Times" w:cs="Times New Roman"/>
        </w:rPr>
      </w:pPr>
      <w:r w:rsidRPr="003C4F99">
        <w:rPr>
          <w:rFonts w:ascii="Arial" w:eastAsia="Times New Roman" w:hAnsi="Arial" w:cs="Arial"/>
        </w:rPr>
        <w:t>Start the amplification program on the thermal cycler and put on “pause” once the initial denaturation temperature is reached.</w:t>
      </w:r>
    </w:p>
    <w:p w14:paraId="1E674EB3" w14:textId="77777777" w:rsidR="003C4F99" w:rsidRPr="003C4F99" w:rsidRDefault="003C4F99" w:rsidP="003C4F99">
      <w:pPr>
        <w:numPr>
          <w:ilvl w:val="0"/>
          <w:numId w:val="4"/>
        </w:numPr>
        <w:spacing w:before="100" w:beforeAutospacing="1" w:after="100" w:afterAutospacing="1"/>
        <w:rPr>
          <w:rFonts w:ascii="Times" w:eastAsia="Times New Roman" w:hAnsi="Times" w:cs="Times New Roman"/>
        </w:rPr>
      </w:pPr>
      <w:r w:rsidRPr="003C4F99">
        <w:rPr>
          <w:rFonts w:ascii="Arial" w:eastAsia="Times New Roman" w:hAnsi="Arial" w:cs="Arial"/>
        </w:rPr>
        <w:t>The tubes are placed in the wells, the lid closed and the program restarted.</w:t>
      </w:r>
    </w:p>
    <w:p w14:paraId="7C42E62A" w14:textId="77777777" w:rsidR="003C4F99" w:rsidRPr="003C4F99" w:rsidRDefault="003C4F99" w:rsidP="003C4F99">
      <w:pPr>
        <w:numPr>
          <w:ilvl w:val="0"/>
          <w:numId w:val="4"/>
        </w:numPr>
        <w:spacing w:before="100" w:beforeAutospacing="1" w:after="100" w:afterAutospacing="1"/>
        <w:rPr>
          <w:rFonts w:ascii="Times" w:eastAsia="Times New Roman" w:hAnsi="Times" w:cs="Times New Roman"/>
        </w:rPr>
      </w:pPr>
      <w:r w:rsidRPr="003C4F99">
        <w:rPr>
          <w:rFonts w:ascii="Arial" w:eastAsia="Times New Roman" w:hAnsi="Arial" w:cs="Arial"/>
        </w:rPr>
        <w:t>After amplification, 5 µl of the reaction mix is run on a 1.5% gel (a 3% NuSieve 3:1 gel is used if sharp bands are desired) to visualize the bands.</w:t>
      </w:r>
    </w:p>
    <w:p w14:paraId="2D84E1DB" w14:textId="77777777" w:rsidR="003C4F99" w:rsidRPr="003C4F99" w:rsidRDefault="003C4F99" w:rsidP="003C4F99">
      <w:pPr>
        <w:numPr>
          <w:ilvl w:val="0"/>
          <w:numId w:val="4"/>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When amplification is done from DNA extracted from infected plant tissue sometimes a single round of amplification will not generate a </w:t>
      </w:r>
      <w:r w:rsidRPr="003C4F99">
        <w:rPr>
          <w:rFonts w:ascii="Arial" w:eastAsia="Times New Roman" w:hAnsi="Arial" w:cs="Arial"/>
          <w:i/>
          <w:iCs/>
        </w:rPr>
        <w:t>Phytophthora</w:t>
      </w:r>
      <w:r w:rsidRPr="003C4F99">
        <w:rPr>
          <w:rFonts w:ascii="Arial" w:eastAsia="Times New Roman" w:hAnsi="Arial" w:cs="Arial"/>
        </w:rPr>
        <w:t xml:space="preserve"> genus-specific amplicon due to the low pathogen DNA concentration relative to the plant DNA in the sample. So even if a </w:t>
      </w:r>
      <w:r w:rsidRPr="003C4F99">
        <w:rPr>
          <w:rFonts w:ascii="Arial" w:eastAsia="Times New Roman" w:hAnsi="Arial" w:cs="Arial"/>
          <w:i/>
          <w:iCs/>
        </w:rPr>
        <w:t>Phytophthora</w:t>
      </w:r>
      <w:r w:rsidRPr="003C4F99">
        <w:rPr>
          <w:rFonts w:ascii="Arial" w:eastAsia="Times New Roman" w:hAnsi="Arial" w:cs="Arial"/>
        </w:rPr>
        <w:t xml:space="preserve"> specific band is not seen, continue with the second round of amplification (while this is an issue with forest samples, it may not with samples form ornamental plants). </w:t>
      </w:r>
    </w:p>
    <w:p w14:paraId="5DD94721" w14:textId="77777777" w:rsidR="003C4F99" w:rsidRPr="003C4F99" w:rsidRDefault="003C4F99" w:rsidP="003C4F99">
      <w:pPr>
        <w:numPr>
          <w:ilvl w:val="0"/>
          <w:numId w:val="4"/>
        </w:numPr>
        <w:spacing w:before="100" w:beforeAutospacing="1" w:after="100" w:afterAutospacing="1"/>
        <w:rPr>
          <w:rFonts w:ascii="Times" w:eastAsia="Times New Roman" w:hAnsi="Times" w:cs="Times New Roman"/>
        </w:rPr>
      </w:pPr>
      <w:r w:rsidRPr="003C4F99">
        <w:rPr>
          <w:rFonts w:ascii="Arial" w:eastAsia="Times New Roman" w:hAnsi="Arial" w:cs="Arial"/>
        </w:rPr>
        <w:t>The presence of glycerol enhances the specificity of the amplification, without it a band may be amplified by some, but not all, plant species.</w:t>
      </w:r>
    </w:p>
    <w:p w14:paraId="738A9C25"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Second Round Amplification</w:t>
      </w:r>
    </w:p>
    <w:p w14:paraId="27952B82"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Samples from the first round amplification are diluted 1:100. </w:t>
      </w:r>
    </w:p>
    <w:p w14:paraId="20B2DBA4"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Second Amplification Master Mix:</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0"/>
        <w:gridCol w:w="2614"/>
      </w:tblGrid>
      <w:tr w:rsidR="003C4F99" w:rsidRPr="003C4F99" w14:paraId="0B2E25D5"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0EC03"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AE2DE"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b/>
                <w:bCs/>
              </w:rPr>
              <w:t xml:space="preserve">Final concentration </w:t>
            </w:r>
          </w:p>
        </w:tc>
      </w:tr>
      <w:tr w:rsidR="003C4F99" w:rsidRPr="003C4F99" w14:paraId="6002FB8D"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6E254A"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Buffer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9313F"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2.5 µl</w:t>
            </w:r>
          </w:p>
        </w:tc>
      </w:tr>
      <w:tr w:rsidR="003C4F99" w:rsidRPr="003C4F99" w14:paraId="0EFE3612"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793CDE"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MgCl2 (3 mM)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0F906"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3.0 µl</w:t>
            </w:r>
          </w:p>
        </w:tc>
      </w:tr>
      <w:tr w:rsidR="003C4F99" w:rsidRPr="003C4F99" w14:paraId="57DB8F89"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6D10AD"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dNTP mix</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5A944"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0.5 µl </w:t>
            </w:r>
          </w:p>
        </w:tc>
      </w:tr>
      <w:tr w:rsidR="003C4F99" w:rsidRPr="003C4F99" w14:paraId="4D029BAD"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E6219"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FMPhy-8b (12.5 µM)</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61F11"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0.5 µl </w:t>
            </w:r>
          </w:p>
        </w:tc>
      </w:tr>
      <w:tr w:rsidR="003C4F99" w:rsidRPr="003C4F99" w14:paraId="1E81E4AA"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B272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FMPhy-10b (12.5 µM)</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9947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0.5 µl </w:t>
            </w:r>
          </w:p>
        </w:tc>
      </w:tr>
      <w:tr w:rsidR="003C4F99" w:rsidRPr="003C4F99" w14:paraId="485B7E6C"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E072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AmpliTaq</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54241"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 xml:space="preserve">0.2 µl </w:t>
            </w:r>
          </w:p>
        </w:tc>
      </w:tr>
      <w:tr w:rsidR="003C4F99" w:rsidRPr="003C4F99" w14:paraId="567E1F70"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DC1A8"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Diluted DNA from first round of amplification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B54BA"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1.0 µl</w:t>
            </w:r>
          </w:p>
        </w:tc>
      </w:tr>
      <w:tr w:rsidR="003C4F99" w:rsidRPr="003C4F99" w14:paraId="08EC258C"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88EA8C"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dWater (Sigma cat. # W4502)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AD50E" w14:textId="77777777" w:rsidR="003C4F99" w:rsidRPr="003C4F99" w:rsidRDefault="003C4F99" w:rsidP="003C4F99">
            <w:pPr>
              <w:jc w:val="right"/>
              <w:rPr>
                <w:rFonts w:ascii="Times" w:eastAsia="Times New Roman" w:hAnsi="Times" w:cs="Times New Roman"/>
              </w:rPr>
            </w:pPr>
            <w:r w:rsidRPr="003C4F99">
              <w:rPr>
                <w:rFonts w:ascii="Arial" w:eastAsia="Times New Roman" w:hAnsi="Arial" w:cs="Arial"/>
              </w:rPr>
              <w:t>to final volume of 25 µl</w:t>
            </w:r>
          </w:p>
        </w:tc>
      </w:tr>
    </w:tbl>
    <w:p w14:paraId="66692CD3"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Program for second amplification:</w:t>
      </w:r>
    </w:p>
    <w:tbl>
      <w:tblPr>
        <w:tblW w:w="34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2181"/>
        <w:gridCol w:w="3461"/>
      </w:tblGrid>
      <w:tr w:rsidR="003C4F99" w:rsidRPr="003C4F99" w14:paraId="515A28EB"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6BE977A0"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Step</w:t>
            </w:r>
          </w:p>
        </w:tc>
        <w:tc>
          <w:tcPr>
            <w:tcW w:w="1700" w:type="pct"/>
            <w:tcBorders>
              <w:top w:val="outset" w:sz="6" w:space="0" w:color="auto"/>
              <w:left w:val="outset" w:sz="6" w:space="0" w:color="auto"/>
              <w:bottom w:val="outset" w:sz="6" w:space="0" w:color="auto"/>
              <w:right w:val="outset" w:sz="6" w:space="0" w:color="auto"/>
            </w:tcBorders>
            <w:vAlign w:val="center"/>
            <w:hideMark/>
          </w:tcPr>
          <w:p w14:paraId="769F3600"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Cycles</w:t>
            </w:r>
          </w:p>
        </w:tc>
        <w:tc>
          <w:tcPr>
            <w:tcW w:w="2700" w:type="pct"/>
            <w:tcBorders>
              <w:top w:val="outset" w:sz="6" w:space="0" w:color="auto"/>
              <w:left w:val="outset" w:sz="6" w:space="0" w:color="auto"/>
              <w:bottom w:val="outset" w:sz="6" w:space="0" w:color="auto"/>
              <w:right w:val="outset" w:sz="6" w:space="0" w:color="auto"/>
            </w:tcBorders>
            <w:vAlign w:val="center"/>
            <w:hideMark/>
          </w:tcPr>
          <w:p w14:paraId="54E78806" w14:textId="77777777" w:rsidR="003C4F99" w:rsidRPr="003C4F99" w:rsidRDefault="003C4F99" w:rsidP="003C4F99">
            <w:pPr>
              <w:rPr>
                <w:rFonts w:ascii="Times" w:eastAsia="Times New Roman" w:hAnsi="Times" w:cs="Times New Roman"/>
              </w:rPr>
            </w:pPr>
            <w:r w:rsidRPr="003C4F99">
              <w:rPr>
                <w:rFonts w:ascii="Arial" w:eastAsia="Times New Roman" w:hAnsi="Arial" w:cs="Arial"/>
                <w:b/>
                <w:bCs/>
              </w:rPr>
              <w:t>Conditions</w:t>
            </w:r>
          </w:p>
        </w:tc>
      </w:tr>
      <w:tr w:rsidR="003C4F99" w:rsidRPr="003C4F99" w14:paraId="1BB31636" w14:textId="77777777" w:rsidTr="003C4F99">
        <w:trPr>
          <w:tblCellSpacing w:w="15" w:type="dxa"/>
        </w:trPr>
        <w:tc>
          <w:tcPr>
            <w:tcW w:w="600" w:type="pct"/>
            <w:tcBorders>
              <w:top w:val="outset" w:sz="6" w:space="0" w:color="auto"/>
              <w:left w:val="outset" w:sz="6" w:space="0" w:color="auto"/>
              <w:bottom w:val="outset" w:sz="6" w:space="0" w:color="auto"/>
              <w:right w:val="outset" w:sz="6" w:space="0" w:color="auto"/>
            </w:tcBorders>
            <w:vAlign w:val="center"/>
            <w:hideMark/>
          </w:tcPr>
          <w:p w14:paraId="0AE097F1"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531A07C"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2700" w:type="pct"/>
            <w:tcBorders>
              <w:top w:val="outset" w:sz="6" w:space="0" w:color="auto"/>
              <w:left w:val="outset" w:sz="6" w:space="0" w:color="auto"/>
              <w:bottom w:val="outset" w:sz="6" w:space="0" w:color="auto"/>
              <w:right w:val="outset" w:sz="6" w:space="0" w:color="auto"/>
            </w:tcBorders>
            <w:vAlign w:val="center"/>
            <w:hideMark/>
          </w:tcPr>
          <w:p w14:paraId="3BE6AE22"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95C for 3min;</w:t>
            </w:r>
          </w:p>
        </w:tc>
      </w:tr>
      <w:tr w:rsidR="003C4F99" w:rsidRPr="003C4F99" w14:paraId="5299ED24"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7D083"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2</w:t>
            </w:r>
            <w:r w:rsidRPr="003C4F99">
              <w:rPr>
                <w:rFonts w:ascii="Arial" w:eastAsia="Times New Roman" w:hAnsi="Arial" w:cs="Arial"/>
              </w:rPr>
              <w:b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70296"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35 (repeat steps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B1BE5"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95C for 30sec;</w:t>
            </w:r>
            <w:r w:rsidRPr="003C4F99">
              <w:rPr>
                <w:rFonts w:ascii="Arial" w:hAnsi="Arial" w:cs="Arial"/>
              </w:rPr>
              <w:br/>
              <w:t xml:space="preserve">64C for 30sec, </w:t>
            </w:r>
          </w:p>
        </w:tc>
      </w:tr>
      <w:tr w:rsidR="003C4F99" w:rsidRPr="003C4F99" w14:paraId="1494D3B6"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B6CD2"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A9FF5"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77AF4"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72C for 5min;</w:t>
            </w:r>
          </w:p>
        </w:tc>
      </w:tr>
      <w:tr w:rsidR="003C4F99" w:rsidRPr="003C4F99" w14:paraId="2488C8B6" w14:textId="77777777" w:rsidTr="003C4F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AA457"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F726C"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58ABF" w14:textId="77777777" w:rsidR="003C4F99" w:rsidRPr="003C4F99" w:rsidRDefault="003C4F99" w:rsidP="003C4F99">
            <w:pPr>
              <w:rPr>
                <w:rFonts w:ascii="Times" w:eastAsia="Times New Roman" w:hAnsi="Times" w:cs="Times New Roman"/>
              </w:rPr>
            </w:pPr>
            <w:r w:rsidRPr="003C4F99">
              <w:rPr>
                <w:rFonts w:ascii="Arial" w:eastAsia="Times New Roman" w:hAnsi="Arial" w:cs="Arial"/>
              </w:rPr>
              <w:t>Store at -20C until used</w:t>
            </w:r>
          </w:p>
        </w:tc>
      </w:tr>
    </w:tbl>
    <w:p w14:paraId="2E88A365"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General Notes:</w:t>
      </w:r>
    </w:p>
    <w:p w14:paraId="4AF112C9" w14:textId="77777777" w:rsidR="003C4F99" w:rsidRPr="003C4F99" w:rsidRDefault="003C4F99" w:rsidP="003C4F99">
      <w:pPr>
        <w:numPr>
          <w:ilvl w:val="0"/>
          <w:numId w:val="5"/>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The above procedures have been validated using and ABI 9700 thermalcycler and the indicated sources of reagents and Taq polymerase. In our experience changing any of these may affect the results obtained and require revalidation of the amplification conditions (especially if amplification is done using DNA extracted form infected plant tissue). </w:t>
      </w:r>
    </w:p>
    <w:p w14:paraId="1D6A9299" w14:textId="77777777" w:rsidR="003C4F99" w:rsidRPr="003C4F99" w:rsidRDefault="003C4F99" w:rsidP="003C4F99">
      <w:pPr>
        <w:numPr>
          <w:ilvl w:val="0"/>
          <w:numId w:val="5"/>
        </w:numPr>
        <w:spacing w:before="100" w:beforeAutospacing="1" w:after="100" w:afterAutospacing="1"/>
        <w:rPr>
          <w:rFonts w:ascii="Times" w:eastAsia="Times New Roman" w:hAnsi="Times" w:cs="Times New Roman"/>
        </w:rPr>
      </w:pPr>
      <w:r w:rsidRPr="003C4F99">
        <w:rPr>
          <w:rFonts w:ascii="Arial" w:eastAsia="Times New Roman" w:hAnsi="Arial" w:cs="Arial"/>
        </w:rPr>
        <w:t>One of the first things that will need to be tested when this procedure is used on a different PCR machine is to evaluate the effect of annealing temperature on the specificity of amplification as differences have been encountered when using different thermalcyclers (this is not as important if DNA from purified cultures is used in the amplification).</w:t>
      </w:r>
      <w:r w:rsidRPr="003C4F99">
        <w:rPr>
          <w:rFonts w:ascii="Times" w:eastAsia="Times New Roman" w:hAnsi="Times" w:cs="Times New Roman"/>
        </w:rPr>
        <w:t xml:space="preserve"> </w:t>
      </w:r>
    </w:p>
    <w:p w14:paraId="1C86A870" w14:textId="77777777" w:rsidR="003C4F99" w:rsidRPr="003C4F99" w:rsidRDefault="003C4F99" w:rsidP="003C4F99">
      <w:pPr>
        <w:numPr>
          <w:ilvl w:val="1"/>
          <w:numId w:val="5"/>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The annealing temperatures we used with our thermalcycler (ABI 9700) for the first and second round amplification was 65.5 C and 64 C, respectively. However, when we used a MJ unit the temperatures had to be reduced by 1 C for the marker system to work. We believe this is due to differences in block calibration between machines (possibly differences in ramp rates as well) and highlights the importance of validating your machine before getting started with using the diagnostic assay. Several suggestions: </w:t>
      </w:r>
    </w:p>
    <w:p w14:paraId="74F894A5" w14:textId="77777777" w:rsidR="003C4F99" w:rsidRPr="003C4F99" w:rsidRDefault="003C4F99" w:rsidP="003C4F99">
      <w:pPr>
        <w:numPr>
          <w:ilvl w:val="2"/>
          <w:numId w:val="5"/>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use purified Phytophthora DNA and healthy plant DNA from the hosts you will be evaluating to check the annealing temps for specificity. If the annealing temp is too low for the first round amplification some plant DNA may give a band the same size as the Phytophthora genus specific amplicon. </w:t>
      </w:r>
    </w:p>
    <w:p w14:paraId="7F6B7479" w14:textId="77777777" w:rsidR="003C4F99" w:rsidRPr="003C4F99" w:rsidRDefault="003C4F99" w:rsidP="003C4F99">
      <w:pPr>
        <w:numPr>
          <w:ilvl w:val="2"/>
          <w:numId w:val="5"/>
        </w:numPr>
        <w:spacing w:before="100" w:beforeAutospacing="1" w:after="100" w:afterAutospacing="1"/>
        <w:rPr>
          <w:rFonts w:ascii="Times" w:eastAsia="Times New Roman" w:hAnsi="Times" w:cs="Times New Roman"/>
        </w:rPr>
      </w:pPr>
      <w:r w:rsidRPr="003C4F99">
        <w:rPr>
          <w:rFonts w:ascii="Arial" w:eastAsia="Times New Roman" w:hAnsi="Arial" w:cs="Arial"/>
        </w:rPr>
        <w:t>After the optimum annealing temperatures have been determined the plant and Phytophthora DNA are combined in the master mix and 12 tubes are placed in a uniform pattern across the thermalcycler block to test for block uniformity. Both the first and second amplification cycles are tested this way and the separate tubes are compared for intensity of amplification and lack of background bands. To ensure our thermalcycler is functioning properly we repeat this test on a regular basis.</w:t>
      </w:r>
    </w:p>
    <w:p w14:paraId="586053F2" w14:textId="77777777" w:rsidR="003C4F99" w:rsidRPr="003C4F99" w:rsidRDefault="003C4F99" w:rsidP="003C4F99">
      <w:pPr>
        <w:numPr>
          <w:ilvl w:val="2"/>
          <w:numId w:val="5"/>
        </w:numPr>
        <w:spacing w:before="100" w:beforeAutospacing="1" w:after="100" w:afterAutospacing="1"/>
        <w:rPr>
          <w:rFonts w:ascii="Times" w:eastAsia="Times New Roman" w:hAnsi="Times" w:cs="Times New Roman"/>
        </w:rPr>
      </w:pPr>
      <w:r w:rsidRPr="003C4F99">
        <w:rPr>
          <w:rFonts w:ascii="Arial" w:eastAsia="Times New Roman" w:hAnsi="Arial" w:cs="Arial"/>
        </w:rPr>
        <w:t>If the annealing temp for the first round amplification with the Phytophthora genus specific primer pair is to high there will be a low level of genus specific amplicon generated, which will reduce the sensitivity of detection.</w:t>
      </w:r>
    </w:p>
    <w:p w14:paraId="02814CD9" w14:textId="77777777" w:rsidR="003C4F99" w:rsidRPr="003C4F99" w:rsidRDefault="003C4F99" w:rsidP="003C4F99">
      <w:pPr>
        <w:numPr>
          <w:ilvl w:val="2"/>
          <w:numId w:val="5"/>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Under the conditions indicated above Phy-8b + 10b primer pair amplifies all of the </w:t>
      </w:r>
      <w:r w:rsidRPr="003C4F99">
        <w:rPr>
          <w:rFonts w:ascii="Arial" w:eastAsia="Times New Roman" w:hAnsi="Arial" w:cs="Arial"/>
          <w:i/>
          <w:iCs/>
        </w:rPr>
        <w:t>Phytophthora</w:t>
      </w:r>
      <w:r w:rsidRPr="003C4F99">
        <w:rPr>
          <w:rFonts w:ascii="Arial" w:eastAsia="Times New Roman" w:hAnsi="Arial" w:cs="Arial"/>
        </w:rPr>
        <w:t xml:space="preserve"> species with the exception of low amplification of P. lateralis and P. sojae. </w:t>
      </w:r>
    </w:p>
    <w:p w14:paraId="356DE3D2" w14:textId="77777777" w:rsidR="003C4F99" w:rsidRPr="003C4F99" w:rsidRDefault="003C4F99" w:rsidP="003C4F99">
      <w:pPr>
        <w:numPr>
          <w:ilvl w:val="3"/>
          <w:numId w:val="5"/>
        </w:numPr>
        <w:spacing w:before="100" w:beforeAutospacing="1" w:after="100" w:afterAutospacing="1"/>
        <w:rPr>
          <w:rFonts w:ascii="Times" w:eastAsia="Times New Roman" w:hAnsi="Times" w:cs="Times New Roman"/>
        </w:rPr>
      </w:pPr>
      <w:r w:rsidRPr="003C4F99">
        <w:rPr>
          <w:rFonts w:ascii="Arial" w:eastAsia="Times New Roman" w:hAnsi="Arial" w:cs="Arial"/>
        </w:rPr>
        <w:t>Both these species are amplified by the earlier version of this primer pair, Phy-8 + 10.</w:t>
      </w:r>
    </w:p>
    <w:p w14:paraId="53C9B19A" w14:textId="77777777" w:rsidR="003C4F99" w:rsidRPr="003C4F99" w:rsidRDefault="003C4F99" w:rsidP="003C4F99">
      <w:pPr>
        <w:numPr>
          <w:ilvl w:val="3"/>
          <w:numId w:val="5"/>
        </w:numPr>
        <w:spacing w:before="100" w:beforeAutospacing="1" w:after="100" w:afterAutospacing="1"/>
        <w:rPr>
          <w:rFonts w:ascii="Times" w:eastAsia="Times New Roman" w:hAnsi="Times" w:cs="Times New Roman"/>
        </w:rPr>
      </w:pPr>
      <w:r w:rsidRPr="003C4F99">
        <w:rPr>
          <w:rFonts w:ascii="Arial" w:eastAsia="Times New Roman" w:hAnsi="Arial" w:cs="Arial"/>
        </w:rPr>
        <w:t>While this primer pair will amplify all Phytophthora spp. and none of the plant material tested, it also amplifies Pythium spp. as well. For this reason it cannot be used for assaying any plant part that comes into contact with the soil.</w:t>
      </w:r>
    </w:p>
    <w:p w14:paraId="7BAF4845"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i/>
          <w:iCs/>
        </w:rPr>
        <w:t>Trouble shooting:</w:t>
      </w:r>
    </w:p>
    <w:p w14:paraId="0E746B6B" w14:textId="77777777" w:rsidR="003C4F99" w:rsidRPr="003C4F99" w:rsidRDefault="003C4F99" w:rsidP="003C4F99">
      <w:pPr>
        <w:numPr>
          <w:ilvl w:val="0"/>
          <w:numId w:val="6"/>
        </w:numPr>
        <w:spacing w:before="100" w:beforeAutospacing="1" w:after="100" w:afterAutospacing="1"/>
        <w:rPr>
          <w:rFonts w:ascii="Times" w:eastAsia="Times New Roman" w:hAnsi="Times" w:cs="Times New Roman"/>
        </w:rPr>
      </w:pPr>
      <w:r w:rsidRPr="003C4F99">
        <w:rPr>
          <w:rFonts w:ascii="Arial" w:eastAsia="Times New Roman" w:hAnsi="Arial" w:cs="Arial"/>
        </w:rPr>
        <w:t>Bands in the 450-500 bp range when only plant DNA is in the amplification mixture – the stringency needs to be increased. Make sure the glycerol is included in the master mix, increase the annealing temperature by 1 C,</w:t>
      </w:r>
    </w:p>
    <w:p w14:paraId="23498E29" w14:textId="77777777" w:rsidR="003C4F99" w:rsidRPr="003C4F99" w:rsidRDefault="003C4F99" w:rsidP="003C4F99">
      <w:pPr>
        <w:numPr>
          <w:ilvl w:val="0"/>
          <w:numId w:val="6"/>
        </w:numPr>
        <w:spacing w:before="100" w:beforeAutospacing="1" w:after="100" w:afterAutospacing="1"/>
        <w:rPr>
          <w:rFonts w:ascii="Times" w:eastAsia="Times New Roman" w:hAnsi="Times" w:cs="Times New Roman"/>
        </w:rPr>
      </w:pPr>
      <w:r w:rsidRPr="003C4F99">
        <w:rPr>
          <w:rFonts w:ascii="Arial" w:eastAsia="Times New Roman" w:hAnsi="Arial" w:cs="Arial"/>
        </w:rPr>
        <w:t xml:space="preserve">Faint </w:t>
      </w:r>
      <w:r w:rsidRPr="003C4F99">
        <w:rPr>
          <w:rFonts w:ascii="Arial" w:eastAsia="Times New Roman" w:hAnsi="Arial" w:cs="Arial"/>
          <w:i/>
          <w:iCs/>
        </w:rPr>
        <w:t>Phytophthora</w:t>
      </w:r>
      <w:r w:rsidRPr="003C4F99">
        <w:rPr>
          <w:rFonts w:ascii="Arial" w:eastAsia="Times New Roman" w:hAnsi="Arial" w:cs="Arial"/>
        </w:rPr>
        <w:t xml:space="preserve"> genus-specific band – the annealing temperature may be too high for the first round amplification with the genus-specific primer pair. Run samples with </w:t>
      </w:r>
      <w:r w:rsidRPr="003C4F99">
        <w:rPr>
          <w:rFonts w:ascii="Arial" w:eastAsia="Times New Roman" w:hAnsi="Arial" w:cs="Arial"/>
          <w:i/>
          <w:iCs/>
        </w:rPr>
        <w:t>Phytophthora</w:t>
      </w:r>
      <w:r w:rsidRPr="003C4F99">
        <w:rPr>
          <w:rFonts w:ascii="Arial" w:eastAsia="Times New Roman" w:hAnsi="Arial" w:cs="Arial"/>
        </w:rPr>
        <w:t xml:space="preserve"> and plant DNA individually in separate tubes to optimize the annealing temperatures to prevent background amplification of plant DNA by the genus-specific primers. With the two round nested amplification procedure as little as 2 fg total </w:t>
      </w:r>
      <w:r w:rsidRPr="003C4F99">
        <w:rPr>
          <w:rFonts w:ascii="Arial" w:eastAsia="Times New Roman" w:hAnsi="Arial" w:cs="Arial"/>
          <w:i/>
          <w:iCs/>
        </w:rPr>
        <w:t>Phytophthora</w:t>
      </w:r>
      <w:r w:rsidRPr="003C4F99">
        <w:rPr>
          <w:rFonts w:ascii="Arial" w:eastAsia="Times New Roman" w:hAnsi="Arial" w:cs="Arial"/>
        </w:rPr>
        <w:t xml:space="preserve"> DNA should be detected.</w:t>
      </w:r>
    </w:p>
    <w:p w14:paraId="57DF8DC4"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Additional details on using this region for diagnostics can be found at </w:t>
      </w:r>
      <w:r w:rsidRPr="003C4F99">
        <w:rPr>
          <w:rFonts w:ascii="Arial" w:hAnsi="Arial" w:cs="Arial"/>
        </w:rPr>
        <w:fldChar w:fldCharType="begin"/>
      </w:r>
      <w:r w:rsidRPr="003C4F99">
        <w:rPr>
          <w:rFonts w:ascii="Arial" w:hAnsi="Arial" w:cs="Arial"/>
        </w:rPr>
        <w:instrText xml:space="preserve"> HYPERLINK "http://www.ars.usda.gov/Research/docs.htm?docid=8733" \t "_blank" </w:instrText>
      </w:r>
      <w:r w:rsidRPr="003C4F99">
        <w:rPr>
          <w:rFonts w:ascii="Arial" w:hAnsi="Arial" w:cs="Arial"/>
        </w:rPr>
      </w:r>
      <w:r w:rsidRPr="003C4F99">
        <w:rPr>
          <w:rFonts w:ascii="Arial" w:hAnsi="Arial" w:cs="Arial"/>
        </w:rPr>
        <w:fldChar w:fldCharType="separate"/>
      </w:r>
      <w:r w:rsidRPr="003C4F99">
        <w:rPr>
          <w:rFonts w:ascii="Arial" w:hAnsi="Arial" w:cs="Arial"/>
          <w:color w:val="0000FF"/>
          <w:u w:val="single"/>
        </w:rPr>
        <w:t>http://www.ars.usda.gov/Research/docs.htm?docid=8733</w:t>
      </w:r>
      <w:r w:rsidRPr="003C4F99">
        <w:rPr>
          <w:rFonts w:ascii="Arial" w:hAnsi="Arial" w:cs="Arial"/>
        </w:rPr>
        <w:fldChar w:fldCharType="end"/>
      </w:r>
      <w:r w:rsidRPr="003C4F99">
        <w:rPr>
          <w:rFonts w:ascii="Arial" w:hAnsi="Arial" w:cs="Arial"/>
        </w:rPr>
        <w:t>.</w:t>
      </w:r>
    </w:p>
    <w:p w14:paraId="364E6DFF"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Sequencing</w:t>
      </w:r>
    </w:p>
    <w:p w14:paraId="79DEA8A6"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Confirm presence of one amplicon by agarose gel electrophoresis. Follow instructions from your sequencing center to obtain ITS sequence. Sequence twice in forward and reverse directions. </w:t>
      </w:r>
    </w:p>
    <w:p w14:paraId="6DF8E06A"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Once sequence is returned to you, usually in form of an &lt;abi&gt; file, check sequence for quality (use a program such as </w:t>
      </w:r>
      <w:hyperlink r:id="rId12" w:history="1">
        <w:r w:rsidRPr="003C4F99">
          <w:rPr>
            <w:rFonts w:ascii="Arial" w:hAnsi="Arial" w:cs="Arial"/>
            <w:color w:val="0000FF"/>
            <w:u w:val="single"/>
          </w:rPr>
          <w:t>Bioedit</w:t>
        </w:r>
      </w:hyperlink>
      <w:r w:rsidRPr="003C4F99">
        <w:rPr>
          <w:rFonts w:ascii="Arial" w:hAnsi="Arial" w:cs="Arial"/>
        </w:rPr>
        <w:t xml:space="preserve">). ITS or </w:t>
      </w:r>
      <w:r w:rsidRPr="003C4F99">
        <w:rPr>
          <w:rFonts w:ascii="Arial" w:hAnsi="Arial" w:cs="Arial"/>
          <w:i/>
          <w:iCs/>
        </w:rPr>
        <w:t xml:space="preserve">Cox </w:t>
      </w:r>
      <w:r w:rsidRPr="003C4F99">
        <w:rPr>
          <w:rFonts w:ascii="Arial" w:hAnsi="Arial" w:cs="Arial"/>
        </w:rPr>
        <w:t xml:space="preserve">spacer sequences should be sequenced in both directions. If sequences are clean proceed to either ITS-BLAST or </w:t>
      </w:r>
      <w:r w:rsidRPr="003C4F99">
        <w:rPr>
          <w:rFonts w:ascii="Arial" w:hAnsi="Arial" w:cs="Arial"/>
          <w:i/>
          <w:iCs/>
        </w:rPr>
        <w:t>Cox</w:t>
      </w:r>
      <w:r w:rsidRPr="003C4F99">
        <w:rPr>
          <w:rFonts w:ascii="Arial" w:hAnsi="Arial" w:cs="Arial"/>
        </w:rPr>
        <w:t>-BLAST (links to your left) and submit sequence in FASTA format for species identification.</w:t>
      </w:r>
    </w:p>
    <w:p w14:paraId="7FC622F0"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Occasionally you will observe polymorphic sites or sequences that abruptly end probably due to presence of and indel or because a hybridization event occurred. In this case additional work is needed to identify a species. A suggested next step included cloning and sequences to determine haplotypes and/or sequencing of additional nuclear or mitochondrial genes and BLAST search in </w:t>
      </w:r>
      <w:r w:rsidRPr="003C4F99">
        <w:rPr>
          <w:rFonts w:ascii="Arial" w:hAnsi="Arial" w:cs="Arial"/>
        </w:rPr>
        <w:fldChar w:fldCharType="begin"/>
      </w:r>
      <w:r w:rsidRPr="003C4F99">
        <w:rPr>
          <w:rFonts w:ascii="Arial" w:hAnsi="Arial" w:cs="Arial"/>
        </w:rPr>
        <w:instrText xml:space="preserve"> HYPERLINK "http://www.phytophthoradb.org/" \t "_blank" </w:instrText>
      </w:r>
      <w:r w:rsidRPr="003C4F99">
        <w:rPr>
          <w:rFonts w:ascii="Arial" w:hAnsi="Arial" w:cs="Arial"/>
        </w:rPr>
      </w:r>
      <w:r w:rsidRPr="003C4F99">
        <w:rPr>
          <w:rFonts w:ascii="Arial" w:hAnsi="Arial" w:cs="Arial"/>
        </w:rPr>
        <w:fldChar w:fldCharType="separate"/>
      </w:r>
      <w:r w:rsidRPr="003C4F99">
        <w:rPr>
          <w:rFonts w:ascii="Arial" w:hAnsi="Arial" w:cs="Arial"/>
          <w:color w:val="0000FF"/>
          <w:u w:val="single"/>
        </w:rPr>
        <w:t>PhytophthoraDB</w:t>
      </w:r>
      <w:r w:rsidRPr="003C4F99">
        <w:rPr>
          <w:rFonts w:ascii="Arial" w:hAnsi="Arial" w:cs="Arial"/>
        </w:rPr>
        <w:fldChar w:fldCharType="end"/>
      </w:r>
      <w:r w:rsidRPr="003C4F99">
        <w:rPr>
          <w:rFonts w:ascii="Arial" w:hAnsi="Arial" w:cs="Arial"/>
        </w:rPr>
        <w:t xml:space="preserve">. </w:t>
      </w:r>
    </w:p>
    <w:p w14:paraId="6F3748B2"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Citation</w:t>
      </w:r>
    </w:p>
    <w:p w14:paraId="36ECCA14"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If you use this Phytophthora-ID for publishable research please cite the following reference:</w:t>
      </w:r>
    </w:p>
    <w:p w14:paraId="35112D05" w14:textId="77777777" w:rsidR="003C4F99" w:rsidRPr="003C4F99" w:rsidRDefault="003C4F99" w:rsidP="003C4F99">
      <w:pPr>
        <w:spacing w:before="100" w:beforeAutospacing="1" w:after="100" w:afterAutospacing="1"/>
        <w:rPr>
          <w:rFonts w:ascii="Times" w:hAnsi="Times" w:cs="Times New Roman"/>
        </w:rPr>
      </w:pPr>
      <w:r w:rsidRPr="003C4F99">
        <w:rPr>
          <w:rFonts w:ascii="Times" w:hAnsi="Times" w:cs="Times New Roman"/>
        </w:rPr>
        <w:t>Grünwald, N. J., Martin, F. N., Larsen, M. M., Sullivan, Press, C. M., Coffey, M. D., Hansen, E. M., and Parke, J. L. 2011. Phytophthora-ID.org: A sequence-based Phytophthora identification tool. Plant Disease 95: 337-342.</w:t>
      </w:r>
    </w:p>
    <w:p w14:paraId="6EF8E4CB" w14:textId="77777777" w:rsidR="003C4F99" w:rsidRPr="003C4F99" w:rsidRDefault="003C4F99" w:rsidP="003C4F99">
      <w:pPr>
        <w:spacing w:before="100" w:beforeAutospacing="1" w:after="100" w:afterAutospacing="1"/>
        <w:outlineLvl w:val="1"/>
        <w:rPr>
          <w:rFonts w:ascii="Times" w:eastAsia="Times New Roman" w:hAnsi="Times" w:cs="Times New Roman"/>
          <w:b/>
          <w:bCs/>
        </w:rPr>
      </w:pPr>
      <w:r w:rsidRPr="003C4F99">
        <w:rPr>
          <w:rFonts w:ascii="Arial" w:eastAsia="Times New Roman" w:hAnsi="Arial" w:cs="Arial"/>
          <w:b/>
          <w:bCs/>
        </w:rPr>
        <w:t>References</w:t>
      </w:r>
    </w:p>
    <w:p w14:paraId="5D6E20A0"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Cooke, D. E. L., and Duncan, J. M. 1997. Phylogenetic analysis of </w:t>
      </w:r>
      <w:r w:rsidRPr="003C4F99">
        <w:rPr>
          <w:rFonts w:ascii="Arial" w:hAnsi="Arial" w:cs="Arial"/>
          <w:i/>
          <w:iCs/>
        </w:rPr>
        <w:t>Phytophthora</w:t>
      </w:r>
      <w:r w:rsidRPr="003C4F99">
        <w:rPr>
          <w:rFonts w:ascii="Arial" w:hAnsi="Arial" w:cs="Arial"/>
        </w:rPr>
        <w:t xml:space="preserve"> species based on ITS1 and ITS2 sequences of the ribosomal RNA gene repeat. Mycol. Res. 101:667-677 </w:t>
      </w:r>
    </w:p>
    <w:p w14:paraId="64E69515"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Cooke, D. E. L., Drenth, A., Duncan, J. M., Wagels, G., and Brasier, C. M. 2000. A molecular phylogeny of </w:t>
      </w:r>
      <w:r w:rsidRPr="003C4F99">
        <w:rPr>
          <w:rFonts w:ascii="Arial" w:hAnsi="Arial" w:cs="Arial"/>
          <w:i/>
          <w:iCs/>
        </w:rPr>
        <w:t>Phytophthora</w:t>
      </w:r>
      <w:r w:rsidRPr="003C4F99">
        <w:rPr>
          <w:rFonts w:ascii="Arial" w:hAnsi="Arial" w:cs="Arial"/>
        </w:rPr>
        <w:t xml:space="preserve"> and related oomycetes. Fungal Genet. Biol. 30:17-32. </w:t>
      </w:r>
    </w:p>
    <w:p w14:paraId="7CF2233D" w14:textId="77777777" w:rsidR="003C4F99" w:rsidRPr="003C4F99" w:rsidRDefault="003C4F99" w:rsidP="003C4F99">
      <w:pPr>
        <w:spacing w:before="100" w:beforeAutospacing="1" w:after="100" w:afterAutospacing="1"/>
        <w:rPr>
          <w:rFonts w:ascii="Times" w:hAnsi="Times" w:cs="Times New Roman"/>
        </w:rPr>
      </w:pPr>
      <w:r w:rsidRPr="003C4F99">
        <w:rPr>
          <w:rFonts w:ascii="Times" w:hAnsi="Times" w:cs="Times New Roman"/>
        </w:rPr>
        <w:t>Grünwald, N. J., Martin, F. N., Larsen, M. M., Sullivan, Press, C. M., Coffey, M. D., Hansen, E. M., and Parke, J. L. 2011. Phytophthora-ID.org: A sequence-based Phytophthora identification tool. Plant Disease 95: 337-342.</w:t>
      </w:r>
    </w:p>
    <w:p w14:paraId="703EC87A"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Hillis, D. M., Moritz, C., and Mable, B. K. 1996. Molecular Systematics. Sinauer Associate, Inc., Sunderland, MA. </w:t>
      </w:r>
    </w:p>
    <w:p w14:paraId="339DF120"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Martin, F.N, Tooley, P.W. and Blomquist, C. 2004. Molecular detection of </w:t>
      </w:r>
      <w:r w:rsidRPr="003C4F99">
        <w:rPr>
          <w:rFonts w:ascii="Arial" w:hAnsi="Arial" w:cs="Arial"/>
          <w:i/>
          <w:iCs/>
        </w:rPr>
        <w:t>Phytophthora ramorum</w:t>
      </w:r>
      <w:r w:rsidRPr="003C4F99">
        <w:rPr>
          <w:rFonts w:ascii="Arial" w:hAnsi="Arial" w:cs="Arial"/>
        </w:rPr>
        <w:t>, the causal agent of sudden oak death in California, and two additional species commonly recovered from diseased plant material. Phytopathology 94:621-631.</w:t>
      </w:r>
    </w:p>
    <w:p w14:paraId="4D381564"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Martin F.N., Bensasson D., Tyler B.M., Boore J.L. 2007. Mitochondrial genome sequences and comparative genomics of </w:t>
      </w:r>
      <w:r w:rsidRPr="003C4F99">
        <w:rPr>
          <w:rFonts w:ascii="Arial" w:hAnsi="Arial" w:cs="Arial"/>
          <w:i/>
          <w:iCs/>
        </w:rPr>
        <w:t xml:space="preserve">Phytophthora ramorum </w:t>
      </w:r>
      <w:r w:rsidRPr="003C4F99">
        <w:rPr>
          <w:rFonts w:ascii="Arial" w:hAnsi="Arial" w:cs="Arial"/>
        </w:rPr>
        <w:t xml:space="preserve">and </w:t>
      </w:r>
      <w:r w:rsidRPr="003C4F99">
        <w:rPr>
          <w:rFonts w:ascii="Arial" w:hAnsi="Arial" w:cs="Arial"/>
          <w:i/>
          <w:iCs/>
        </w:rPr>
        <w:t>P. sojae</w:t>
      </w:r>
      <w:r w:rsidRPr="003C4F99">
        <w:rPr>
          <w:rFonts w:ascii="Arial" w:hAnsi="Arial" w:cs="Arial"/>
        </w:rPr>
        <w:t>. Current Genetics 51:285-296.</w:t>
      </w:r>
    </w:p>
    <w:p w14:paraId="7B998314"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 xml:space="preserve">Tooley, P.W., Martin, F.N., Carras, M.M. and Frederick, R.D. 2006. Real-time fluorescent PCR detection of </w:t>
      </w:r>
      <w:r w:rsidRPr="003C4F99">
        <w:rPr>
          <w:rFonts w:ascii="Arial" w:hAnsi="Arial" w:cs="Arial"/>
          <w:i/>
          <w:iCs/>
        </w:rPr>
        <w:t>Phytophthora</w:t>
      </w:r>
      <w:r w:rsidRPr="003C4F99">
        <w:rPr>
          <w:rFonts w:ascii="Arial" w:hAnsi="Arial" w:cs="Arial"/>
        </w:rPr>
        <w:t xml:space="preserve"> </w:t>
      </w:r>
      <w:r w:rsidRPr="003C4F99">
        <w:rPr>
          <w:rFonts w:ascii="Arial" w:hAnsi="Arial" w:cs="Arial"/>
          <w:i/>
          <w:iCs/>
        </w:rPr>
        <w:t>ramorum</w:t>
      </w:r>
      <w:r w:rsidRPr="003C4F99">
        <w:rPr>
          <w:rFonts w:ascii="Arial" w:hAnsi="Arial" w:cs="Arial"/>
        </w:rPr>
        <w:t xml:space="preserve"> and </w:t>
      </w:r>
      <w:r w:rsidRPr="003C4F99">
        <w:rPr>
          <w:rFonts w:ascii="Arial" w:hAnsi="Arial" w:cs="Arial"/>
          <w:i/>
          <w:iCs/>
        </w:rPr>
        <w:t>Phytophthora</w:t>
      </w:r>
      <w:r w:rsidRPr="003C4F99">
        <w:rPr>
          <w:rFonts w:ascii="Arial" w:hAnsi="Arial" w:cs="Arial"/>
        </w:rPr>
        <w:t xml:space="preserve"> </w:t>
      </w:r>
      <w:r w:rsidRPr="003C4F99">
        <w:rPr>
          <w:rFonts w:ascii="Arial" w:hAnsi="Arial" w:cs="Arial"/>
          <w:i/>
          <w:iCs/>
        </w:rPr>
        <w:t>pseudosyringae</w:t>
      </w:r>
      <w:r w:rsidRPr="003C4F99">
        <w:rPr>
          <w:rFonts w:ascii="Arial" w:hAnsi="Arial" w:cs="Arial"/>
        </w:rPr>
        <w:t xml:space="preserve"> using mitochondrial gene regions. Phytopathology 96: 336-345</w:t>
      </w:r>
    </w:p>
    <w:p w14:paraId="4B4689BB" w14:textId="77777777" w:rsidR="003C4F99" w:rsidRPr="003C4F99" w:rsidRDefault="003C4F99" w:rsidP="003C4F99">
      <w:pPr>
        <w:spacing w:before="100" w:beforeAutospacing="1" w:after="100" w:afterAutospacing="1"/>
        <w:rPr>
          <w:rFonts w:ascii="Times" w:hAnsi="Times" w:cs="Times New Roman"/>
        </w:rPr>
      </w:pPr>
      <w:r w:rsidRPr="003C4F99">
        <w:rPr>
          <w:rFonts w:ascii="Arial" w:hAnsi="Arial" w:cs="Arial"/>
        </w:rPr>
        <w:t>White, T. J., Bruns, T., Lee, S., and Taylor, J. 1990. Amplification and direct sequencing of fungal ribosomal RNA genes for phylogenetics. Pages 315-322 in: PCR protocols: a guide to methods and applications, M. A. Innis, D. H. Gelfand, J. J. Sninsky and T. J. White, eds. Academic Press, San Diego.</w:t>
      </w:r>
    </w:p>
    <w:p w14:paraId="6C1EA153" w14:textId="77777777" w:rsidR="00284030" w:rsidRPr="003C4F99" w:rsidRDefault="00284030"/>
    <w:sectPr w:rsidR="00284030" w:rsidRPr="003C4F99" w:rsidSect="000A3E4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29F1E" w14:textId="77777777" w:rsidR="003C4F99" w:rsidRDefault="003C4F99" w:rsidP="003C4F99">
      <w:r>
        <w:separator/>
      </w:r>
    </w:p>
  </w:endnote>
  <w:endnote w:type="continuationSeparator" w:id="0">
    <w:p w14:paraId="1C31B737" w14:textId="77777777" w:rsidR="003C4F99" w:rsidRDefault="003C4F99" w:rsidP="003C4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579B5" w14:textId="77777777" w:rsidR="000A3E46" w:rsidRDefault="000A3E46" w:rsidP="005416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9B987B" w14:textId="77777777" w:rsidR="000A3E46" w:rsidRDefault="000A3E46" w:rsidP="000A3E4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2EBEA" w14:textId="77777777" w:rsidR="000A3E46" w:rsidRPr="000A3E46" w:rsidRDefault="000A3E46" w:rsidP="00541638">
    <w:pPr>
      <w:pStyle w:val="Footer"/>
      <w:framePr w:wrap="around" w:vAnchor="text" w:hAnchor="margin" w:xAlign="right" w:y="1"/>
      <w:rPr>
        <w:rStyle w:val="PageNumber"/>
        <w:rFonts w:asciiTheme="majorHAnsi" w:hAnsiTheme="majorHAnsi"/>
        <w:sz w:val="20"/>
        <w:szCs w:val="20"/>
      </w:rPr>
    </w:pPr>
    <w:r w:rsidRPr="000A3E46">
      <w:rPr>
        <w:rStyle w:val="PageNumber"/>
        <w:rFonts w:asciiTheme="majorHAnsi" w:hAnsiTheme="majorHAnsi"/>
        <w:sz w:val="20"/>
        <w:szCs w:val="20"/>
      </w:rPr>
      <w:fldChar w:fldCharType="begin"/>
    </w:r>
    <w:r w:rsidRPr="000A3E46">
      <w:rPr>
        <w:rStyle w:val="PageNumber"/>
        <w:rFonts w:asciiTheme="majorHAnsi" w:hAnsiTheme="majorHAnsi"/>
        <w:sz w:val="20"/>
        <w:szCs w:val="20"/>
      </w:rPr>
      <w:instrText xml:space="preserve">PAGE  </w:instrText>
    </w:r>
    <w:r w:rsidRPr="000A3E46">
      <w:rPr>
        <w:rStyle w:val="PageNumber"/>
        <w:rFonts w:asciiTheme="majorHAnsi" w:hAnsiTheme="majorHAnsi"/>
        <w:sz w:val="20"/>
        <w:szCs w:val="20"/>
      </w:rPr>
      <w:fldChar w:fldCharType="separate"/>
    </w:r>
    <w:r w:rsidR="00EE6DE8">
      <w:rPr>
        <w:rStyle w:val="PageNumber"/>
        <w:rFonts w:asciiTheme="majorHAnsi" w:hAnsiTheme="majorHAnsi"/>
        <w:noProof/>
        <w:sz w:val="20"/>
        <w:szCs w:val="20"/>
      </w:rPr>
      <w:t>2</w:t>
    </w:r>
    <w:r w:rsidRPr="000A3E46">
      <w:rPr>
        <w:rStyle w:val="PageNumber"/>
        <w:rFonts w:asciiTheme="majorHAnsi" w:hAnsiTheme="majorHAnsi"/>
        <w:sz w:val="20"/>
        <w:szCs w:val="20"/>
      </w:rPr>
      <w:fldChar w:fldCharType="end"/>
    </w:r>
  </w:p>
  <w:p w14:paraId="3AABC009" w14:textId="77777777" w:rsidR="000A3E46" w:rsidRDefault="000A3E46" w:rsidP="000A3E46">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407E4" w14:textId="77777777" w:rsidR="00EE6DE8" w:rsidRDefault="00EE6D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C908E" w14:textId="77777777" w:rsidR="003C4F99" w:rsidRDefault="003C4F99" w:rsidP="003C4F99">
      <w:r>
        <w:separator/>
      </w:r>
    </w:p>
  </w:footnote>
  <w:footnote w:type="continuationSeparator" w:id="0">
    <w:p w14:paraId="73825BA3" w14:textId="77777777" w:rsidR="003C4F99" w:rsidRDefault="003C4F99" w:rsidP="003C4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A0835" w14:textId="77777777" w:rsidR="003C4F99" w:rsidRDefault="003C4F99">
    <w:pPr>
      <w:pStyle w:val="Header"/>
    </w:pPr>
    <w:sdt>
      <w:sdtPr>
        <w:id w:val="171999623"/>
        <w:placeholder>
          <w:docPart w:val="C08708ABCB6D9E4BA92B0ADE071986E3"/>
        </w:placeholder>
        <w:temporary/>
        <w:showingPlcHdr/>
      </w:sdtPr>
      <w:sdtContent>
        <w:r>
          <w:t>[Type text]</w:t>
        </w:r>
      </w:sdtContent>
    </w:sdt>
    <w:r>
      <w:ptab w:relativeTo="margin" w:alignment="center" w:leader="none"/>
    </w:r>
    <w:sdt>
      <w:sdtPr>
        <w:id w:val="171999624"/>
        <w:placeholder>
          <w:docPart w:val="FCF04C1293946F4F962FF98748732065"/>
        </w:placeholder>
        <w:temporary/>
        <w:showingPlcHdr/>
      </w:sdtPr>
      <w:sdtContent>
        <w:r>
          <w:t>[Type text]</w:t>
        </w:r>
      </w:sdtContent>
    </w:sdt>
    <w:r>
      <w:ptab w:relativeTo="margin" w:alignment="right" w:leader="none"/>
    </w:r>
    <w:sdt>
      <w:sdtPr>
        <w:id w:val="171999625"/>
        <w:placeholder>
          <w:docPart w:val="360D81EA52305B49B1B9B7D62905733A"/>
        </w:placeholder>
        <w:temporary/>
        <w:showingPlcHdr/>
      </w:sdtPr>
      <w:sdtContent>
        <w:r>
          <w:t>[Type text]</w:t>
        </w:r>
      </w:sdtContent>
    </w:sdt>
  </w:p>
  <w:p w14:paraId="3D79C1EE" w14:textId="77777777" w:rsidR="003C4F99" w:rsidRDefault="003C4F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BA8F0" w14:textId="31FD40FA" w:rsidR="003C4F99" w:rsidRPr="003C4F99" w:rsidRDefault="00EE6DE8">
    <w:pPr>
      <w:pStyle w:val="Header"/>
      <w:rPr>
        <w:rFonts w:asciiTheme="majorHAnsi" w:hAnsiTheme="majorHAnsi"/>
        <w:b/>
        <w:sz w:val="20"/>
        <w:szCs w:val="20"/>
      </w:rPr>
    </w:pPr>
    <w:hyperlink r:id="rId1" w:history="1">
      <w:r w:rsidR="003C4F99" w:rsidRPr="00EE6DE8">
        <w:rPr>
          <w:rStyle w:val="Hyperlink"/>
          <w:rFonts w:asciiTheme="majorHAnsi" w:hAnsiTheme="majorHAnsi"/>
          <w:b/>
          <w:sz w:val="20"/>
          <w:szCs w:val="20"/>
        </w:rPr>
        <w:t>Phytophthora-ID.org</w:t>
      </w:r>
    </w:hyperlink>
    <w:bookmarkStart w:id="0" w:name="_GoBack"/>
    <w:bookmarkEnd w:id="0"/>
    <w:r w:rsidR="003C4F99" w:rsidRPr="003C4F99">
      <w:rPr>
        <w:rFonts w:asciiTheme="majorHAnsi" w:hAnsiTheme="majorHAnsi"/>
        <w:b/>
        <w:sz w:val="20"/>
        <w:szCs w:val="20"/>
      </w:rPr>
      <w:ptab w:relativeTo="margin" w:alignment="center" w:leader="none"/>
    </w:r>
    <w:r w:rsidR="003C4F99" w:rsidRPr="003C4F99">
      <w:rPr>
        <w:rFonts w:asciiTheme="majorHAnsi" w:hAnsiTheme="majorHAnsi"/>
        <w:b/>
        <w:sz w:val="20"/>
        <w:szCs w:val="20"/>
      </w:rPr>
      <w:t>Sequencing protocols</w:t>
    </w:r>
    <w:r w:rsidR="003C4F99" w:rsidRPr="003C4F99">
      <w:rPr>
        <w:rFonts w:asciiTheme="majorHAnsi" w:hAnsiTheme="majorHAnsi"/>
        <w:b/>
        <w:sz w:val="20"/>
        <w:szCs w:val="20"/>
      </w:rPr>
      <w:ptab w:relativeTo="margin" w:alignment="right" w:leader="none"/>
    </w:r>
    <w:hyperlink r:id="rId2" w:history="1">
      <w:r w:rsidR="003C4F99" w:rsidRPr="003C4F99">
        <w:rPr>
          <w:rStyle w:val="Hyperlink"/>
          <w:rFonts w:asciiTheme="majorHAnsi" w:hAnsiTheme="majorHAnsi"/>
          <w:b/>
          <w:sz w:val="20"/>
          <w:szCs w:val="20"/>
        </w:rPr>
        <w:t>Grünwald lab</w:t>
      </w:r>
    </w:hyperlink>
  </w:p>
  <w:p w14:paraId="558CED1C" w14:textId="77777777" w:rsidR="003C4F99" w:rsidRDefault="003C4F9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01547" w14:textId="77777777" w:rsidR="00EE6DE8" w:rsidRDefault="00EE6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E511E"/>
    <w:multiLevelType w:val="multilevel"/>
    <w:tmpl w:val="58C8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42693"/>
    <w:multiLevelType w:val="multilevel"/>
    <w:tmpl w:val="1EB6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57A55"/>
    <w:multiLevelType w:val="multilevel"/>
    <w:tmpl w:val="A8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57614"/>
    <w:multiLevelType w:val="multilevel"/>
    <w:tmpl w:val="45DA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27147"/>
    <w:multiLevelType w:val="multilevel"/>
    <w:tmpl w:val="0F9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855F9"/>
    <w:multiLevelType w:val="multilevel"/>
    <w:tmpl w:val="D36A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99"/>
    <w:rsid w:val="0003075A"/>
    <w:rsid w:val="000A3E46"/>
    <w:rsid w:val="0014257D"/>
    <w:rsid w:val="00284030"/>
    <w:rsid w:val="003C4F99"/>
    <w:rsid w:val="0064416B"/>
    <w:rsid w:val="00BE0B28"/>
    <w:rsid w:val="00EE6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8F3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4F9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C4F9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E0B28"/>
  </w:style>
  <w:style w:type="character" w:customStyle="1" w:styleId="Heading1Char">
    <w:name w:val="Heading 1 Char"/>
    <w:basedOn w:val="DefaultParagraphFont"/>
    <w:link w:val="Heading1"/>
    <w:uiPriority w:val="9"/>
    <w:rsid w:val="003C4F99"/>
    <w:rPr>
      <w:rFonts w:ascii="Times" w:hAnsi="Times"/>
      <w:b/>
      <w:bCs/>
      <w:kern w:val="36"/>
      <w:sz w:val="48"/>
      <w:szCs w:val="48"/>
    </w:rPr>
  </w:style>
  <w:style w:type="character" w:customStyle="1" w:styleId="Heading2Char">
    <w:name w:val="Heading 2 Char"/>
    <w:basedOn w:val="DefaultParagraphFont"/>
    <w:link w:val="Heading2"/>
    <w:uiPriority w:val="9"/>
    <w:rsid w:val="003C4F99"/>
    <w:rPr>
      <w:rFonts w:ascii="Times" w:hAnsi="Times"/>
      <w:b/>
      <w:bCs/>
      <w:sz w:val="36"/>
      <w:szCs w:val="36"/>
    </w:rPr>
  </w:style>
  <w:style w:type="character" w:styleId="Hyperlink">
    <w:name w:val="Hyperlink"/>
    <w:basedOn w:val="DefaultParagraphFont"/>
    <w:uiPriority w:val="99"/>
    <w:unhideWhenUsed/>
    <w:rsid w:val="003C4F99"/>
    <w:rPr>
      <w:color w:val="0000FF"/>
      <w:u w:val="single"/>
    </w:rPr>
  </w:style>
  <w:style w:type="character" w:customStyle="1" w:styleId="submitted">
    <w:name w:val="submitted"/>
    <w:basedOn w:val="DefaultParagraphFont"/>
    <w:rsid w:val="003C4F99"/>
  </w:style>
  <w:style w:type="character" w:styleId="Strong">
    <w:name w:val="Strong"/>
    <w:basedOn w:val="DefaultParagraphFont"/>
    <w:uiPriority w:val="22"/>
    <w:qFormat/>
    <w:rsid w:val="003C4F99"/>
    <w:rPr>
      <w:b/>
      <w:bCs/>
    </w:rPr>
  </w:style>
  <w:style w:type="paragraph" w:styleId="NormalWeb">
    <w:name w:val="Normal (Web)"/>
    <w:basedOn w:val="Normal"/>
    <w:uiPriority w:val="99"/>
    <w:unhideWhenUsed/>
    <w:rsid w:val="003C4F9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C4F99"/>
    <w:rPr>
      <w:i/>
      <w:iCs/>
    </w:rPr>
  </w:style>
  <w:style w:type="character" w:customStyle="1" w:styleId="style5">
    <w:name w:val="style_5"/>
    <w:basedOn w:val="DefaultParagraphFont"/>
    <w:rsid w:val="003C4F99"/>
  </w:style>
  <w:style w:type="character" w:customStyle="1" w:styleId="style6">
    <w:name w:val="style_6"/>
    <w:basedOn w:val="DefaultParagraphFont"/>
    <w:rsid w:val="003C4F99"/>
  </w:style>
  <w:style w:type="paragraph" w:styleId="Header">
    <w:name w:val="header"/>
    <w:basedOn w:val="Normal"/>
    <w:link w:val="HeaderChar"/>
    <w:uiPriority w:val="99"/>
    <w:unhideWhenUsed/>
    <w:rsid w:val="003C4F99"/>
    <w:pPr>
      <w:tabs>
        <w:tab w:val="center" w:pos="4320"/>
        <w:tab w:val="right" w:pos="8640"/>
      </w:tabs>
    </w:pPr>
  </w:style>
  <w:style w:type="character" w:customStyle="1" w:styleId="HeaderChar">
    <w:name w:val="Header Char"/>
    <w:basedOn w:val="DefaultParagraphFont"/>
    <w:link w:val="Header"/>
    <w:uiPriority w:val="99"/>
    <w:rsid w:val="003C4F99"/>
  </w:style>
  <w:style w:type="paragraph" w:styleId="Footer">
    <w:name w:val="footer"/>
    <w:basedOn w:val="Normal"/>
    <w:link w:val="FooterChar"/>
    <w:uiPriority w:val="99"/>
    <w:unhideWhenUsed/>
    <w:rsid w:val="003C4F99"/>
    <w:pPr>
      <w:tabs>
        <w:tab w:val="center" w:pos="4320"/>
        <w:tab w:val="right" w:pos="8640"/>
      </w:tabs>
    </w:pPr>
  </w:style>
  <w:style w:type="character" w:customStyle="1" w:styleId="FooterChar">
    <w:name w:val="Footer Char"/>
    <w:basedOn w:val="DefaultParagraphFont"/>
    <w:link w:val="Footer"/>
    <w:uiPriority w:val="99"/>
    <w:rsid w:val="003C4F99"/>
  </w:style>
  <w:style w:type="paragraph" w:styleId="BalloonText">
    <w:name w:val="Balloon Text"/>
    <w:basedOn w:val="Normal"/>
    <w:link w:val="BalloonTextChar"/>
    <w:uiPriority w:val="99"/>
    <w:semiHidden/>
    <w:unhideWhenUsed/>
    <w:rsid w:val="003C4F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F99"/>
    <w:rPr>
      <w:rFonts w:ascii="Lucida Grande" w:hAnsi="Lucida Grande" w:cs="Lucida Grande"/>
      <w:sz w:val="18"/>
      <w:szCs w:val="18"/>
    </w:rPr>
  </w:style>
  <w:style w:type="character" w:styleId="PageNumber">
    <w:name w:val="page number"/>
    <w:basedOn w:val="DefaultParagraphFont"/>
    <w:uiPriority w:val="99"/>
    <w:semiHidden/>
    <w:unhideWhenUsed/>
    <w:rsid w:val="000A3E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4F9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3C4F9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E0B28"/>
  </w:style>
  <w:style w:type="character" w:customStyle="1" w:styleId="Heading1Char">
    <w:name w:val="Heading 1 Char"/>
    <w:basedOn w:val="DefaultParagraphFont"/>
    <w:link w:val="Heading1"/>
    <w:uiPriority w:val="9"/>
    <w:rsid w:val="003C4F99"/>
    <w:rPr>
      <w:rFonts w:ascii="Times" w:hAnsi="Times"/>
      <w:b/>
      <w:bCs/>
      <w:kern w:val="36"/>
      <w:sz w:val="48"/>
      <w:szCs w:val="48"/>
    </w:rPr>
  </w:style>
  <w:style w:type="character" w:customStyle="1" w:styleId="Heading2Char">
    <w:name w:val="Heading 2 Char"/>
    <w:basedOn w:val="DefaultParagraphFont"/>
    <w:link w:val="Heading2"/>
    <w:uiPriority w:val="9"/>
    <w:rsid w:val="003C4F99"/>
    <w:rPr>
      <w:rFonts w:ascii="Times" w:hAnsi="Times"/>
      <w:b/>
      <w:bCs/>
      <w:sz w:val="36"/>
      <w:szCs w:val="36"/>
    </w:rPr>
  </w:style>
  <w:style w:type="character" w:styleId="Hyperlink">
    <w:name w:val="Hyperlink"/>
    <w:basedOn w:val="DefaultParagraphFont"/>
    <w:uiPriority w:val="99"/>
    <w:unhideWhenUsed/>
    <w:rsid w:val="003C4F99"/>
    <w:rPr>
      <w:color w:val="0000FF"/>
      <w:u w:val="single"/>
    </w:rPr>
  </w:style>
  <w:style w:type="character" w:customStyle="1" w:styleId="submitted">
    <w:name w:val="submitted"/>
    <w:basedOn w:val="DefaultParagraphFont"/>
    <w:rsid w:val="003C4F99"/>
  </w:style>
  <w:style w:type="character" w:styleId="Strong">
    <w:name w:val="Strong"/>
    <w:basedOn w:val="DefaultParagraphFont"/>
    <w:uiPriority w:val="22"/>
    <w:qFormat/>
    <w:rsid w:val="003C4F99"/>
    <w:rPr>
      <w:b/>
      <w:bCs/>
    </w:rPr>
  </w:style>
  <w:style w:type="paragraph" w:styleId="NormalWeb">
    <w:name w:val="Normal (Web)"/>
    <w:basedOn w:val="Normal"/>
    <w:uiPriority w:val="99"/>
    <w:unhideWhenUsed/>
    <w:rsid w:val="003C4F9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C4F99"/>
    <w:rPr>
      <w:i/>
      <w:iCs/>
    </w:rPr>
  </w:style>
  <w:style w:type="character" w:customStyle="1" w:styleId="style5">
    <w:name w:val="style_5"/>
    <w:basedOn w:val="DefaultParagraphFont"/>
    <w:rsid w:val="003C4F99"/>
  </w:style>
  <w:style w:type="character" w:customStyle="1" w:styleId="style6">
    <w:name w:val="style_6"/>
    <w:basedOn w:val="DefaultParagraphFont"/>
    <w:rsid w:val="003C4F99"/>
  </w:style>
  <w:style w:type="paragraph" w:styleId="Header">
    <w:name w:val="header"/>
    <w:basedOn w:val="Normal"/>
    <w:link w:val="HeaderChar"/>
    <w:uiPriority w:val="99"/>
    <w:unhideWhenUsed/>
    <w:rsid w:val="003C4F99"/>
    <w:pPr>
      <w:tabs>
        <w:tab w:val="center" w:pos="4320"/>
        <w:tab w:val="right" w:pos="8640"/>
      </w:tabs>
    </w:pPr>
  </w:style>
  <w:style w:type="character" w:customStyle="1" w:styleId="HeaderChar">
    <w:name w:val="Header Char"/>
    <w:basedOn w:val="DefaultParagraphFont"/>
    <w:link w:val="Header"/>
    <w:uiPriority w:val="99"/>
    <w:rsid w:val="003C4F99"/>
  </w:style>
  <w:style w:type="paragraph" w:styleId="Footer">
    <w:name w:val="footer"/>
    <w:basedOn w:val="Normal"/>
    <w:link w:val="FooterChar"/>
    <w:uiPriority w:val="99"/>
    <w:unhideWhenUsed/>
    <w:rsid w:val="003C4F99"/>
    <w:pPr>
      <w:tabs>
        <w:tab w:val="center" w:pos="4320"/>
        <w:tab w:val="right" w:pos="8640"/>
      </w:tabs>
    </w:pPr>
  </w:style>
  <w:style w:type="character" w:customStyle="1" w:styleId="FooterChar">
    <w:name w:val="Footer Char"/>
    <w:basedOn w:val="DefaultParagraphFont"/>
    <w:link w:val="Footer"/>
    <w:uiPriority w:val="99"/>
    <w:rsid w:val="003C4F99"/>
  </w:style>
  <w:style w:type="paragraph" w:styleId="BalloonText">
    <w:name w:val="Balloon Text"/>
    <w:basedOn w:val="Normal"/>
    <w:link w:val="BalloonTextChar"/>
    <w:uiPriority w:val="99"/>
    <w:semiHidden/>
    <w:unhideWhenUsed/>
    <w:rsid w:val="003C4F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F99"/>
    <w:rPr>
      <w:rFonts w:ascii="Lucida Grande" w:hAnsi="Lucida Grande" w:cs="Lucida Grande"/>
      <w:sz w:val="18"/>
      <w:szCs w:val="18"/>
    </w:rPr>
  </w:style>
  <w:style w:type="character" w:styleId="PageNumber">
    <w:name w:val="page number"/>
    <w:basedOn w:val="DefaultParagraphFont"/>
    <w:uiPriority w:val="99"/>
    <w:semiHidden/>
    <w:unhideWhenUsed/>
    <w:rsid w:val="000A3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44085">
      <w:bodyDiv w:val="1"/>
      <w:marLeft w:val="0"/>
      <w:marRight w:val="0"/>
      <w:marTop w:val="0"/>
      <w:marBottom w:val="0"/>
      <w:divBdr>
        <w:top w:val="none" w:sz="0" w:space="0" w:color="auto"/>
        <w:left w:val="none" w:sz="0" w:space="0" w:color="auto"/>
        <w:bottom w:val="none" w:sz="0" w:space="0" w:color="auto"/>
        <w:right w:val="none" w:sz="0" w:space="0" w:color="auto"/>
      </w:divBdr>
      <w:divsChild>
        <w:div w:id="216356957">
          <w:marLeft w:val="0"/>
          <w:marRight w:val="0"/>
          <w:marTop w:val="0"/>
          <w:marBottom w:val="0"/>
          <w:divBdr>
            <w:top w:val="none" w:sz="0" w:space="0" w:color="auto"/>
            <w:left w:val="none" w:sz="0" w:space="0" w:color="auto"/>
            <w:bottom w:val="none" w:sz="0" w:space="0" w:color="auto"/>
            <w:right w:val="none" w:sz="0" w:space="0" w:color="auto"/>
          </w:divBdr>
        </w:div>
        <w:div w:id="2064668369">
          <w:marLeft w:val="0"/>
          <w:marRight w:val="0"/>
          <w:marTop w:val="0"/>
          <w:marBottom w:val="0"/>
          <w:divBdr>
            <w:top w:val="none" w:sz="0" w:space="0" w:color="auto"/>
            <w:left w:val="none" w:sz="0" w:space="0" w:color="auto"/>
            <w:bottom w:val="none" w:sz="0" w:space="0" w:color="auto"/>
            <w:right w:val="none" w:sz="0" w:space="0" w:color="auto"/>
          </w:divBdr>
          <w:divsChild>
            <w:div w:id="347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mbio.ncsu.edu/BioEdit/BioEdit.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http://phytophthora-id.org/" TargetMode="External"/><Relationship Id="rId2" Type="http://schemas.openxmlformats.org/officeDocument/2006/relationships/hyperlink" Target="http://grunwaldlab.cgrb.oregonstate.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708ABCB6D9E4BA92B0ADE071986E3"/>
        <w:category>
          <w:name w:val="General"/>
          <w:gallery w:val="placeholder"/>
        </w:category>
        <w:types>
          <w:type w:val="bbPlcHdr"/>
        </w:types>
        <w:behaviors>
          <w:behavior w:val="content"/>
        </w:behaviors>
        <w:guid w:val="{E4F31C33-FF9C-054D-B40E-6F15A20A99C1}"/>
      </w:docPartPr>
      <w:docPartBody>
        <w:p w:rsidR="00000000" w:rsidRDefault="00191B81" w:rsidP="00191B81">
          <w:pPr>
            <w:pStyle w:val="C08708ABCB6D9E4BA92B0ADE071986E3"/>
          </w:pPr>
          <w:r>
            <w:t>[Type text]</w:t>
          </w:r>
        </w:p>
      </w:docPartBody>
    </w:docPart>
    <w:docPart>
      <w:docPartPr>
        <w:name w:val="FCF04C1293946F4F962FF98748732065"/>
        <w:category>
          <w:name w:val="General"/>
          <w:gallery w:val="placeholder"/>
        </w:category>
        <w:types>
          <w:type w:val="bbPlcHdr"/>
        </w:types>
        <w:behaviors>
          <w:behavior w:val="content"/>
        </w:behaviors>
        <w:guid w:val="{78C7E658-35C2-D24A-A1D6-6AFA9510B5EA}"/>
      </w:docPartPr>
      <w:docPartBody>
        <w:p w:rsidR="00000000" w:rsidRDefault="00191B81" w:rsidP="00191B81">
          <w:pPr>
            <w:pStyle w:val="FCF04C1293946F4F962FF98748732065"/>
          </w:pPr>
          <w:r>
            <w:t>[Type text]</w:t>
          </w:r>
        </w:p>
      </w:docPartBody>
    </w:docPart>
    <w:docPart>
      <w:docPartPr>
        <w:name w:val="360D81EA52305B49B1B9B7D62905733A"/>
        <w:category>
          <w:name w:val="General"/>
          <w:gallery w:val="placeholder"/>
        </w:category>
        <w:types>
          <w:type w:val="bbPlcHdr"/>
        </w:types>
        <w:behaviors>
          <w:behavior w:val="content"/>
        </w:behaviors>
        <w:guid w:val="{CCC9C95A-F92B-2A48-A87B-41A7B5BB1C46}"/>
      </w:docPartPr>
      <w:docPartBody>
        <w:p w:rsidR="00000000" w:rsidRDefault="00191B81" w:rsidP="00191B81">
          <w:pPr>
            <w:pStyle w:val="360D81EA52305B49B1B9B7D62905733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B81"/>
    <w:rsid w:val="00191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708ABCB6D9E4BA92B0ADE071986E3">
    <w:name w:val="C08708ABCB6D9E4BA92B0ADE071986E3"/>
    <w:rsid w:val="00191B81"/>
  </w:style>
  <w:style w:type="paragraph" w:customStyle="1" w:styleId="FCF04C1293946F4F962FF98748732065">
    <w:name w:val="FCF04C1293946F4F962FF98748732065"/>
    <w:rsid w:val="00191B81"/>
  </w:style>
  <w:style w:type="paragraph" w:customStyle="1" w:styleId="360D81EA52305B49B1B9B7D62905733A">
    <w:name w:val="360D81EA52305B49B1B9B7D62905733A"/>
    <w:rsid w:val="00191B81"/>
  </w:style>
  <w:style w:type="paragraph" w:customStyle="1" w:styleId="7846779E9EE1F0449B21C5C776F13016">
    <w:name w:val="7846779E9EE1F0449B21C5C776F13016"/>
    <w:rsid w:val="00191B81"/>
  </w:style>
  <w:style w:type="paragraph" w:customStyle="1" w:styleId="9D27C5679976AA4D8CDA2272C770FF67">
    <w:name w:val="9D27C5679976AA4D8CDA2272C770FF67"/>
    <w:rsid w:val="00191B81"/>
  </w:style>
  <w:style w:type="paragraph" w:customStyle="1" w:styleId="2B72FEEA20976F49B8D4F093F4CFFA80">
    <w:name w:val="2B72FEEA20976F49B8D4F093F4CFFA80"/>
    <w:rsid w:val="00191B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708ABCB6D9E4BA92B0ADE071986E3">
    <w:name w:val="C08708ABCB6D9E4BA92B0ADE071986E3"/>
    <w:rsid w:val="00191B81"/>
  </w:style>
  <w:style w:type="paragraph" w:customStyle="1" w:styleId="FCF04C1293946F4F962FF98748732065">
    <w:name w:val="FCF04C1293946F4F962FF98748732065"/>
    <w:rsid w:val="00191B81"/>
  </w:style>
  <w:style w:type="paragraph" w:customStyle="1" w:styleId="360D81EA52305B49B1B9B7D62905733A">
    <w:name w:val="360D81EA52305B49B1B9B7D62905733A"/>
    <w:rsid w:val="00191B81"/>
  </w:style>
  <w:style w:type="paragraph" w:customStyle="1" w:styleId="7846779E9EE1F0449B21C5C776F13016">
    <w:name w:val="7846779E9EE1F0449B21C5C776F13016"/>
    <w:rsid w:val="00191B81"/>
  </w:style>
  <w:style w:type="paragraph" w:customStyle="1" w:styleId="9D27C5679976AA4D8CDA2272C770FF67">
    <w:name w:val="9D27C5679976AA4D8CDA2272C770FF67"/>
    <w:rsid w:val="00191B81"/>
  </w:style>
  <w:style w:type="paragraph" w:customStyle="1" w:styleId="2B72FEEA20976F49B8D4F093F4CFFA80">
    <w:name w:val="2B72FEEA20976F49B8D4F093F4CFFA80"/>
    <w:rsid w:val="00191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202F7-F614-5B49-9372-1A5DB429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2135</Words>
  <Characters>12175</Characters>
  <Application>Microsoft Macintosh Word</Application>
  <DocSecurity>0</DocSecurity>
  <Lines>101</Lines>
  <Paragraphs>28</Paragraphs>
  <ScaleCrop>false</ScaleCrop>
  <Company>USDA ARS</Company>
  <LinksUpToDate>false</LinksUpToDate>
  <CharactersWithSpaces>14282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Niklaus Grunwald</dc:creator>
  <cp:keywords/>
  <dc:description/>
  <cp:lastModifiedBy>Niklaus Grunwald</cp:lastModifiedBy>
  <cp:revision>5</cp:revision>
  <cp:lastPrinted>2013-03-15T18:59:00Z</cp:lastPrinted>
  <dcterms:created xsi:type="dcterms:W3CDTF">2013-03-15T18:47:00Z</dcterms:created>
  <dcterms:modified xsi:type="dcterms:W3CDTF">2013-03-15T19:02:00Z</dcterms:modified>
</cp:coreProperties>
</file>