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2025-07-23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08:00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09:00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aula de java papai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qqqqqqqqqqqqq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