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60" w:line="252" w:lineRule="auto"/>
        <w:jc w:val="center"/>
      </w:pPr>
      <w:r>
        <w:rPr>
          <w:rFonts w:ascii="Arial" w:hAnsi="Arial"/>
          <w:b/>
          <w:color w:val="1F4E79"/>
          <w:sz w:val="36"/>
        </w:rPr>
        <w:t>Sistema de Gestión Operativa</w:t>
      </w:r>
    </w:p>
    <w:p>
      <w:pPr>
        <w:spacing w:before="0" w:after="100" w:line="252" w:lineRule="auto"/>
        <w:jc w:val="center"/>
      </w:pPr>
      <w:r>
        <w:rPr>
          <w:rFonts w:ascii="Arial" w:hAnsi="Arial"/>
          <w:b/>
          <w:color w:val="000000"/>
          <w:sz w:val="28"/>
        </w:rPr>
        <w:t>Minimarket y Panadería Huáscar</w:t>
      </w:r>
    </w:p>
    <w:p>
      <w:pPr>
        <w:spacing w:before="0" w:after="320" w:line="252" w:lineRule="auto"/>
        <w:jc w:val="center"/>
      </w:pPr>
      <w:r>
        <w:rPr>
          <w:rFonts w:ascii="Arial" w:hAnsi="Arial"/>
          <w:b w:val="0"/>
          <w:color w:val="000000"/>
          <w:sz w:val="22"/>
        </w:rPr>
        <w:t>Documento de Vistas y Controladores - Incremento 3</w:t>
      </w:r>
    </w:p>
    <w:p>
      <w:pPr>
        <w:pStyle w:val="Heading1"/>
        <w:keepNext/>
        <w:spacing w:before="300" w:after="60" w:line="252" w:lineRule="auto"/>
      </w:pPr>
      <w:r>
        <w:rPr>
          <w:rFonts w:ascii="Arial" w:hAnsi="Arial"/>
          <w:b/>
          <w:color w:val="1F4E79"/>
          <w:sz w:val="28"/>
        </w:rPr>
        <w:t>1. Alcance y criterio de continuidad</w:t>
      </w:r>
    </w:p>
    <w:p>
      <w:pPr>
        <w:spacing w:before="0" w:after="60" w:line="252" w:lineRule="auto"/>
      </w:pPr>
      <w:r>
        <w:rPr>
          <w:rFonts w:ascii="Arial" w:hAnsi="Arial"/>
          <w:b w:val="0"/>
          <w:color w:val="000000"/>
          <w:sz w:val="17"/>
        </w:rPr>
        <w:t>Este documento especifica las vistas navegables, los componentes internos y las responsabilidades de control del Incremento 3 para los requerimientos de prioridad 3 y 4. Cada fila de la matriz vincula RF, CU, vistas, controladores funcionales, controladores técnicos de arquitectura y tablas del modelo físico.</w:t>
      </w:r>
    </w:p>
    <w:p>
      <w:pPr>
        <w:spacing w:before="0" w:after="60" w:line="252" w:lineRule="auto"/>
      </w:pPr>
      <w:r>
        <w:rPr>
          <w:rFonts w:ascii="Arial" w:hAnsi="Arial"/>
          <w:b w:val="0"/>
          <w:color w:val="000000"/>
          <w:sz w:val="17"/>
        </w:rPr>
        <w:t>Se conservan los identificadores y las responsabilidades de los incrementos 1 y 2. Los códigos Vxx designan pantallas navegables; comprobantes, gráficos, botones, campos y diálogos se documentan como componentes internos. Los códigos Cxx representan responsabilidades funcionales, no obligatoriamente archivos o canales IPC separados. Los códigos C_ son integraciones técnicas de la arquitectura.</w:t>
      </w:r>
    </w:p>
    <w:p>
      <w:pPr>
        <w:spacing w:before="0" w:after="60" w:line="252" w:lineRule="auto"/>
      </w:pPr>
      <w:r>
        <w:rPr>
          <w:rFonts w:ascii="Arial" w:hAnsi="Arial"/>
          <w:b w:val="0"/>
          <w:color w:val="000000"/>
          <w:sz w:val="17"/>
        </w:rPr>
        <w:t>RF58, RF59 y RF60 ya aparecen en el catálogo del Incremento 1: aquí se especifica su reutilización y el comportamiento adicional exigido por los CU de prioridad 3 y 4. RF61 y RF62 amplían la interacción del lector sin crear una pantalla independiente. Las vistas V15-V19 se interpretan con la numeración normalizada del Incremento 2 cuando el DOCX y el MD de Incremento 1 difieren.</w:t>
      </w:r>
    </w:p>
    <w:tbl>
      <w:tblPr>
        <w:tblW w:type="auto" w:w="0"/>
        <w:jc w:val="center"/>
        <w:tblLayout w:type="fixed"/>
        <w:tblLook w:firstColumn="1" w:firstRow="1" w:lastColumn="0" w:lastRow="0" w:noHBand="0" w:noVBand="1" w:val="04A0"/>
      </w:tblPr>
      <w:tblGrid>
        <w:gridCol w:w="14400"/>
      </w:tblGrid>
      <w:tr>
        <w:trPr>
          <w:cantSplit/>
          <w:tblHeader w:val="true"/>
        </w:trPr>
        <w:tc>
          <w:tcPr>
            <w:tcW w:type="dxa" w:w="1440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RF prioridad 3 y 4 cubiertos</w:t>
            </w:r>
          </w:p>
        </w:tc>
      </w:tr>
      <w:tr>
        <w:trPr>
          <w:cantSplit/>
        </w:trPr>
        <w:tc>
          <w:tcPr>
            <w:tcW w:type="dxa" w:w="1440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7"/>
              </w:rPr>
              <w:t>RF20, RF32, RF33, RF45, RF46, RF47, RF48, RF49, RF50, RF51, RF52, RF53, RF54, RF58, RF59, RF60, RF61, RF62</w:t>
            </w:r>
          </w:p>
        </w:tc>
      </w:tr>
    </w:tbl>
    <w:p>
      <w:pPr>
        <w:spacing w:after="20"/>
      </w:pPr>
    </w:p>
    <w:p>
      <w:pPr>
        <w:pStyle w:val="Heading1"/>
        <w:keepNext/>
        <w:spacing w:before="300" w:after="60" w:line="252" w:lineRule="auto"/>
      </w:pPr>
      <w:r>
        <w:rPr>
          <w:rFonts w:ascii="Arial" w:hAnsi="Arial"/>
          <w:b/>
          <w:color w:val="1F4E79"/>
          <w:sz w:val="28"/>
        </w:rPr>
        <w:t>2. Resumen modular</w:t>
      </w:r>
    </w:p>
    <w:tbl>
      <w:tblPr>
        <w:tblW w:type="auto" w:w="0"/>
        <w:jc w:val="center"/>
        <w:tblLayout w:type="fixed"/>
        <w:tblLook w:firstColumn="1" w:firstRow="1" w:lastColumn="0" w:lastRow="0" w:noHBand="0" w:noVBand="1" w:val="04A0"/>
      </w:tblPr>
      <w:tblGrid>
        <w:gridCol w:w="605"/>
        <w:gridCol w:w="3557"/>
        <w:gridCol w:w="2376"/>
        <w:gridCol w:w="4910"/>
        <w:gridCol w:w="2952"/>
      </w:tblGrid>
      <w:tr>
        <w:trPr>
          <w:cantSplit/>
          <w:tblHeader w:val="true"/>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Módulo</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Vistas navegables</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CU cubiertos</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14</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Inventario - Exportación</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V06 heredada</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C50; C13, C33, C03-C05 heredados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CU20</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15</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Personal - Ausencias y resumen</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V15/V19 heredadas; V34, V36</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C51-C52; C21, C23, C03-C05 heredados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CU32, CU33</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16</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 por categoría</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V12 heredada; V35</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C49; C16, C48, C03-C05 heredados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CU45</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17</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de ventas</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V37-V39</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C53-C55; C61 transversal</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CU46-CU48</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18</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de inventario y rentabilidad</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V40-V42, V44</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C56-C58, C60; C61 transversal</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CU49-CU51, CU53</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19</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de asistencia</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V43</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C59; C61 transversal</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CU52</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20</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Exportación de reportes</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UI06/UI07 en V37-V44</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C61; C33 como patrón reutilizable</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CU54</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21</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Auditoría y credenciales</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V01-V04 heredadas</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C01-C05 heredados y ampliados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CU58, CU59</w:t>
            </w:r>
          </w:p>
        </w:tc>
      </w:tr>
      <w:tr>
        <w:trPr>
          <w:cantSplit/>
        </w:trPr>
        <w:tc>
          <w:tcPr>
            <w:tcW w:type="dxa" w:w="605"/>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22</w:t>
            </w:r>
          </w:p>
        </w:tc>
        <w:tc>
          <w:tcPr>
            <w:tcW w:type="dxa" w:w="3557"/>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Lector EAN-13</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UI01 en vistas existentes</w:t>
            </w:r>
          </w:p>
        </w:tc>
        <w:tc>
          <w:tcPr>
            <w:tcW w:type="dxa" w:w="491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C24 heredado y ampliado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CU60-CU62</w:t>
            </w:r>
          </w:p>
        </w:tc>
      </w:tr>
    </w:tbl>
    <w:p>
      <w:pPr>
        <w:spacing w:after="20"/>
      </w:pPr>
    </w:p>
    <w:p>
      <w:pPr>
        <w:pStyle w:val="Heading1"/>
        <w:keepNext/>
        <w:spacing w:before="300" w:after="60" w:line="252" w:lineRule="auto"/>
      </w:pPr>
      <w:r>
        <w:rPr>
          <w:rFonts w:ascii="Arial" w:hAnsi="Arial"/>
          <w:b/>
          <w:color w:val="1F4E79"/>
          <w:sz w:val="28"/>
        </w:rPr>
        <w:t>3. Catálogo de componentes no navegables</w:t>
      </w:r>
    </w:p>
    <w:tbl>
      <w:tblPr>
        <w:tblW w:type="auto" w:w="0"/>
        <w:jc w:val="center"/>
        <w:tblLayout w:type="fixed"/>
        <w:tblLook w:firstColumn="1" w:firstRow="1" w:lastColumn="0" w:lastRow="0" w:noHBand="0" w:noVBand="1" w:val="04A0"/>
      </w:tblPr>
      <w:tblGrid>
        <w:gridCol w:w="749"/>
        <w:gridCol w:w="2376"/>
        <w:gridCol w:w="2621"/>
        <w:gridCol w:w="7142"/>
        <w:gridCol w:w="1512"/>
      </w:tblGrid>
      <w:tr>
        <w:trPr>
          <w:cantSplit/>
          <w:tblHeader w:val="true"/>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Cód.</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Componente</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Dónde se usa</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RF/CU</w:t>
            </w:r>
          </w:p>
        </w:tc>
      </w:tr>
      <w:tr>
        <w:trPr>
          <w:cantSplit/>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UI01*</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CampoEAN13Input</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V06, V07, V09-V12, V21, V22, V26 y otras búsquedas EAN activas</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Componente heredado de I1/I2. Recibe EAN-13 del lector HID o ingreso manual, valida formato y checksum y conserva el foco. Tras captura correcta activa la consulta a Producto. Incluye la acción “Reportar lectura fallida”, por la que el usuario informa el pitido local para registrar el evento en LogAuditoria antes de reintentar.</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RF60-RF62 / CU60-CU62</w:t>
            </w:r>
          </w:p>
        </w:tc>
      </w:tr>
      <w:tr>
        <w:trPr>
          <w:cantSplit/>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UI06</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AccionExportarFormato</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V06 y V37-V44</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Botón y selector PDF/XLSX dentro de la vista. V06 aplica permiso de RF20; en reportes el botón solo aparece al Dueño y requiere reporte con datos. No es una pantalla aparte.</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RF20, RF54 / CU20, CU54</w:t>
            </w:r>
          </w:p>
        </w:tc>
      </w:tr>
      <w:tr>
        <w:trPr>
          <w:cantSplit/>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UI07</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ReportePrintView</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Render interno de C50/C61</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Composición React de impresión para PDF con encabezado institucional, datos del reporte y, en RF47, gráfico de barras. No tiene ruta navegable.</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RF20, RF46-RF54 / CU20, CU46-CU54</w:t>
            </w:r>
          </w:p>
        </w:tc>
      </w:tr>
      <w:tr>
        <w:trPr>
          <w:cantSplit/>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UI08</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GraficoVentasMensual</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V38 y UI07 del reporte mensual</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Gráfico Recharts de montos por cada día del mes, incluidos días con cero. XLSX exporta su tabla de valores diarios, sin imagen.</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RF47 / CU47</w:t>
            </w:r>
          </w:p>
        </w:tc>
      </w:tr>
      <w:tr>
        <w:trPr>
          <w:cantSplit/>
        </w:trPr>
        <w:tc>
          <w:tcPr>
            <w:tcW w:type="dxa" w:w="749"/>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UI09</w:t>
            </w:r>
          </w:p>
        </w:tc>
        <w:tc>
          <w:tcPr>
            <w:tcW w:type="dxa" w:w="237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ComprobanteVentaCategoria</w:t>
            </w:r>
          </w:p>
        </w:tc>
        <w:tc>
          <w:tcPr>
            <w:tcW w:type="dxa" w:w="2621"/>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Resultado de V12</w:t>
            </w:r>
          </w:p>
        </w:tc>
        <w:tc>
          <w:tcPr>
            <w:tcW w:type="dxa" w:w="714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Detalle de comprobante que muestra la categoría vigente obtenida al confirmar cada producto vendido. La categoría histórica de consulta se resuelve con el maestro vigente, según RF45.</w:t>
            </w:r>
          </w:p>
        </w:tc>
        <w:tc>
          <w:tcPr>
            <w:tcW w:type="dxa" w:w="151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RF45 / CU45</w:t>
            </w:r>
          </w:p>
        </w:tc>
      </w:tr>
    </w:tbl>
    <w:p>
      <w:pPr>
        <w:spacing w:after="20"/>
      </w:pPr>
    </w:p>
    <w:p>
      <w:pPr>
        <w:pStyle w:val="Heading1"/>
        <w:keepNext/>
        <w:spacing w:before="300" w:after="60" w:line="252" w:lineRule="auto"/>
      </w:pPr>
      <w:r>
        <w:rPr>
          <w:rFonts w:ascii="Arial" w:hAnsi="Arial"/>
          <w:b/>
          <w:color w:val="1F4E79"/>
          <w:sz w:val="28"/>
        </w:rPr>
        <w:t>4. Controladores técnicos de la arquitectura</w:t>
      </w:r>
    </w:p>
    <w:p>
      <w:pPr>
        <w:spacing w:before="0" w:after="60" w:line="252" w:lineRule="auto"/>
      </w:pPr>
      <w:r>
        <w:rPr>
          <w:rFonts w:ascii="Arial" w:hAnsi="Arial"/>
          <w:b w:val="0"/>
          <w:color w:val="000000"/>
          <w:sz w:val="17"/>
        </w:rPr>
        <w:t>Las vistas React/TypeScript se comunican con Electron Main mediante preload/contextBridge e IPC. Main autoriza la sesión y ejecuta los Cxx; Drizzle y @libsql/client acceden a la base libSQL local. Los elementos siguientes son alias técnicos C_ usados en la matriz, no controladores funcionales nuevos.</w:t>
      </w:r>
    </w:p>
    <w:tbl>
      <w:tblPr>
        <w:tblW w:type="auto" w:w="0"/>
        <w:jc w:val="center"/>
        <w:tblLayout w:type="fixed"/>
        <w:tblLook w:firstColumn="1" w:firstRow="1" w:lastColumn="0" w:lastRow="0" w:noHBand="0" w:noVBand="1" w:val="04A0"/>
      </w:tblPr>
      <w:tblGrid>
        <w:gridCol w:w="2952"/>
        <w:gridCol w:w="3528"/>
        <w:gridCol w:w="7920"/>
      </w:tblGrid>
      <w:tr>
        <w:trPr>
          <w:cantSplit/>
          <w:tblHeader w:val="true"/>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técnico</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Tecnología de la dimensión técnica</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Uso en Incremento 3</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C_jsonwebtoken</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jsonwebtoken</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Verificación de identidad y rol en C03/C05 y emisión de sesión en C01.</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C_bcryptjs</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bcryptjs</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Comparación y hash de contraseñas al iniciar sesión, cambiar o restablecer contraseña.</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C_cryptoNode</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node:crypto</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Identificadores únicos y generación segura de contraseña temporal de 8 caracteres.</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C_drizzle</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Drizzle ORM</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Consultas, agregaciones, validaciones y transacciones tipadas desde Main.</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C_libsql</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@libsql/client y réplica local libSQL</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Persistencia y lectura de operaciones. Sincronización posterior mediante Turso Sync.</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C_webContentsSend</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webContents.send</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Actualización de vistas y avisos de sesión/reporte sin recargar toda la aplicación.</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C_webContents.printToPDF</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API de Electron</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PDF generado a partir de UI07; incluye gráfico de barras de RF47.</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C_exceljs</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exceljs</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XLSX con datos y encabezado institucional; RF47 incluye tabla diaria, sin gráfico como imagen.</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C_electronLog</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electron-log</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Registro técnico de fallas de exportación sin confundirlo con LogAuditoria funcional.</w:t>
            </w:r>
          </w:p>
        </w:tc>
      </w:tr>
      <w:tr>
        <w:trPr>
          <w:cantSplit/>
        </w:trPr>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C_tursoSync</w:t>
            </w:r>
          </w:p>
        </w:tc>
        <w:tc>
          <w:tcPr>
            <w:tcW w:type="dxa" w:w="352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Turso Sync</w:t>
            </w:r>
          </w:p>
        </w:tc>
        <w:tc>
          <w:tcPr>
            <w:tcW w:type="dxa" w:w="79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Sincronización local-first y reintentos idempotentes; no se invoca directamente desde una vista ni sustituye una validación de Main.</w:t>
            </w:r>
          </w:p>
        </w:tc>
      </w:tr>
    </w:tbl>
    <w:p>
      <w:pPr>
        <w:spacing w:after="20"/>
      </w:pPr>
    </w:p>
    <w:p>
      <w:pPr>
        <w:pStyle w:val="Heading1"/>
        <w:keepNext/>
        <w:spacing w:before="300" w:after="60" w:line="252" w:lineRule="auto"/>
      </w:pPr>
      <w:r>
        <w:rPr>
          <w:rFonts w:ascii="Arial" w:hAnsi="Arial"/>
          <w:b/>
          <w:color w:val="1F4E79"/>
          <w:sz w:val="28"/>
        </w:rPr>
        <w:t>5. Módulo 14: Inventario - Exportación de productos</w:t>
      </w:r>
    </w:p>
    <w:p>
      <w:pPr>
        <w:keepNext/>
        <w:spacing w:before="0" w:after="60" w:line="252" w:lineRule="auto"/>
      </w:pPr>
      <w:r>
        <w:rPr>
          <w:rFonts w:ascii="Arial" w:hAnsi="Arial"/>
          <w:b w:val="0"/>
          <w:color w:val="000000"/>
          <w:sz w:val="17"/>
        </w:rPr>
        <w:t>V06, C13 y el patrón de exportación C33 proceden de los incrementos anteriores. CU20 describe al Dueño como actor, mientras RF20 contempla el nombre del Dueño o Trabajador exportador; el permiso se aplica por operación conforme RF57.</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V06*</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ListadoProductosView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Inventario &gt; Productos &gt; Exportar listado</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Reutiliza el listado existente, pero exporta todos los productos registrados, no solo las filas visibles ni los activos. UI06 permite elegir PDF/XLSX. Muestra ‘No hay productos para exportar’ o error de archivo.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RF20 / CU20</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 y Trabajador según RF20/RF57</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Archivo con EAN-13, nombre, categoría, stock derivado, mínimo, costo vigente, venta y estado; encabezado con negocio, fecha/hora y usuario.</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C50</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ExportacionInventarioHandler: inventario:exportar-productos</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Autoriza, consulta en Main el catálogo completo, deriva stock de Lote y costo vigente de HistorialPrecioProducto, orquesta UI07/printToPDF o exceljs y audita exportación exitosa. No confía en filas enviadas por renderer.</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formato,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PDF/XLSX o mensajes ‘No hay productos para exportar’ y ‘No fue posible generar el archivo’.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RF20 / CU20</w:t>
            </w:r>
          </w:p>
        </w:tc>
      </w:tr>
    </w:tbl>
    <w:p>
      <w:pPr>
        <w:spacing w:after="20"/>
      </w:pPr>
    </w:p>
    <w:p>
      <w:pPr>
        <w:pStyle w:val="Heading1"/>
        <w:keepNext/>
        <w:spacing w:before="300" w:after="60" w:line="252" w:lineRule="auto"/>
      </w:pPr>
      <w:r>
        <w:rPr>
          <w:rFonts w:ascii="Arial" w:hAnsi="Arial"/>
          <w:b/>
          <w:color w:val="1F4E79"/>
          <w:sz w:val="28"/>
        </w:rPr>
        <w:t>6. Módulo 15: Personal - Ausencias y asistencia</w:t>
      </w:r>
    </w:p>
    <w:p>
      <w:pPr>
        <w:keepNext/>
        <w:spacing w:before="0" w:after="60" w:line="252" w:lineRule="auto"/>
      </w:pPr>
      <w:r>
        <w:rPr>
          <w:rFonts w:ascii="Arial" w:hAnsi="Arial"/>
          <w:b w:val="0"/>
          <w:color w:val="000000"/>
          <w:sz w:val="17"/>
        </w:rPr>
        <w:t>V15 y V19, C21 y C23 se reutilizan; V34 y V36 son pantallas nuevas. El reporte agregado de personal de RF52 se especifica en el módulo 19.</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V34</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RegistrarAusenciaView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Personal &gt; Trabajadores V15 &gt; Registrar ausencia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Formulario: trabajador, fecha no futura, tipo justificada/injustificada y observación opcional. Evita doble registro de ausencia o asistencia en la misma fecha.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RF32 / CU32</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Ausencia guardada; errores por trabajador inexistente/inactivo, fecha futura o registro previo.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V36</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ResumenMensualAsistenciaView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Personal &gt; Resumen mensual; desde V15/V19</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Filtros de trabajador, mes y año. Por día con registro: fecha, entrada, salida, horas HH:MM y estado. Entrada sin salida: Pendiente en estado y horas. Al pie: días trabajados, horas mensuales, ausencias por tipo y semanas lunes-domingo recortadas al mes.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RF33 / CU33</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Resumen completo; sin registros, tabla vacía y totales cero.</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C51</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AusenciaHandler: ausencia:registrar</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Solo Dueño. En una transacción comprueba trabajador activo, fecha no futura y ausencia/asistencia inexistente para esa fecha; inserta Ausencia y auditoría C04.</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trabajador, fecha, tipo, observación,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Ausencia creada o error específico por referencia, estado, fecha o duplicidad.</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RF32 / CU32</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C52</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ResumenAsistenciaHandler: asistencia:resumen-mensual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Consulta Asistencia y Ausencia del trabajador. Calcula HH:MM solo con entrada y salida; Pendiente en registros abiertos; agrupa horas por semanas lunes-domingo limitadas al mes, sin mostrar días sin registro.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trabajador, mes, año,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Filas diarias, totales y desglose semanal; vacío con cero.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RF33 / CU33</w:t>
            </w:r>
          </w:p>
        </w:tc>
      </w:tr>
    </w:tbl>
    <w:p>
      <w:pPr>
        <w:spacing w:after="20"/>
      </w:pPr>
    </w:p>
    <w:p>
      <w:pPr>
        <w:pStyle w:val="Heading1"/>
        <w:keepNext/>
        <w:spacing w:before="300" w:after="60" w:line="252" w:lineRule="auto"/>
      </w:pPr>
      <w:r>
        <w:rPr>
          <w:rFonts w:ascii="Arial" w:hAnsi="Arial"/>
          <w:b/>
          <w:color w:val="1F4E79"/>
          <w:sz w:val="28"/>
        </w:rPr>
        <w:t>7. Módulo 16: Ventas por categoría</w:t>
      </w:r>
    </w:p>
    <w:p>
      <w:pPr>
        <w:keepNext/>
        <w:spacing w:before="0" w:after="60" w:line="252" w:lineRule="auto"/>
      </w:pPr>
      <w:r>
        <w:rPr>
          <w:rFonts w:ascii="Arial" w:hAnsi="Arial"/>
          <w:b w:val="0"/>
          <w:color w:val="000000"/>
          <w:sz w:val="17"/>
        </w:rPr>
        <w:t>C16 conserva la confirmación transaccional, C48 la consulta de ventas y C03/C05 la autorización. La categoría de reportes históricos procede del producto maestro vigente, tal como prescribe RF45; la referencia histórica de precio continúa en DetalleVenta.</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V12*</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RegistrarVentaView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 &gt; Registrar venta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Extiende la confirmación de venta para que el comprobante UI09 muestre la categoría vigente de cada producto. Conserva carrito, pago, descuento, caja y responsable de I1/I2.</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RF45 / CU45</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 y Trabajador</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 confirmada y comprobante con categoría; no altera el detalle histórico ya registrado.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V35</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VentasCategoriaView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 &gt; Ventas por categoría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Consulta independiente de registrar venta, con fechas inicio/término. Muestra unidades e ingreso neto por categoría vigente; el Trabajador solo consulta sus propias ventas.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RF45 / CU45</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 Trabajador sobre ventas propias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Desglose de ventas vigentes o totales cero; rango inválido muestra error.</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C49</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VentasCategoriaHandler: venta:por-categoria</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Verifica rango y rol; usa solo ventas vigentes y restringe por Usuario_Cajero_id para Trabajador. Obtiene categoría actual desde Producto/Categoria y reparte descuento global proporcionalmente entre líneas de cada venta, con ajuste determinista de pesos para que su suma iguale el total final.</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término,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Unidades y monto neto por categoría; rango inválido o lista vacía.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RF45 / CU45</w:t>
            </w:r>
          </w:p>
        </w:tc>
      </w:tr>
    </w:tbl>
    <w:p>
      <w:pPr>
        <w:spacing w:after="20"/>
      </w:pPr>
    </w:p>
    <w:p>
      <w:pPr>
        <w:pStyle w:val="Heading1"/>
        <w:keepNext/>
        <w:spacing w:before="300" w:after="60" w:line="252" w:lineRule="auto"/>
      </w:pPr>
      <w:r>
        <w:rPr>
          <w:rFonts w:ascii="Arial" w:hAnsi="Arial"/>
          <w:b/>
          <w:color w:val="1F4E79"/>
          <w:sz w:val="28"/>
        </w:rPr>
        <w:t>8. Módulo 17: Reportes de ventas</w:t>
      </w:r>
    </w:p>
    <w:p>
      <w:pPr>
        <w:keepNext/>
        <w:spacing w:before="0" w:after="60" w:line="252" w:lineRule="auto"/>
      </w:pPr>
      <w:r>
        <w:rPr>
          <w:rFonts w:ascii="Arial" w:hAnsi="Arial"/>
          <w:b w:val="0"/>
          <w:color w:val="000000"/>
          <w:sz w:val="17"/>
        </w:rPr>
        <w:t>Todas las vistas usan UI06 para exportar mediante C61. La autorización de Dueño se comprueba también en Main; la presencia del botón no concede permisos.</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V37</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ReporteDiarioVentasView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Ventas diarias</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Selecciona cualquier día con ventas, con caja abierta o cerrada. Lista número, hora, responsable, estado y total; resume métodos y vigentes; separa anuladas; top 5 por unidades e ingreso neto; muestra estado/hora de cierre.</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RF46 / CU46</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disponible para exportar o mensaje sin ventas.</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V38</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ReporteMensualVentasView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Ventas mensuales</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Mes/año; tabla diaria con todos los días, incluso cero, gráfico UI08, métodos y variación frente al mes previo. Si el mes previo suma cero, muestra N/A.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RF47 / CU47</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y exportación; si no hay vigentes, mensaje exacto y sin generación.</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V39</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ReporteProductosVendidosView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Productos más vendidos</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Rango de fechas. Muestra top 20 por unidades con EAN-13, nombre, categoría vigente, ingreso neto y porcentaje sobre todas las unidades del período, no solo las 20 filas.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RF48 / CU48</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exportable o ‘No se encontraron productos vendidos para el período indicado’.</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C53</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ReporteVentasDiariasHandler: reporte:ventas-diarias</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Consulta ventas del día sin exigir cierre; vigentes para métodos y top 5, anuladas por separado. Reparte descuentos globales antes de calcular ingreso neto por producto y consulta CierreCaja asociado.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fecha,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Ventas, resúmenes, top 5, estado y hora de caja; mensaje sin ventas.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RF46 / CU46</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C54</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ReporteVentasMensualesHandler: reporte:ventas-mensuales</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Agrega solo ventas vigentes del mes y anterior; rellena todos los días del mes con cero, genera serie para UI08 y variación porcentual o N/A si base anterior es cero.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mes, año,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Datos diarios, métodos, comparativo y gráfico; si no hay vigentes, no genera reporte.</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RF47 / CU47</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C55</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ReporteProductosVendidosHandler: reporte:productos-mas-vendidos</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Valida rango; agrega cantidades de ventas vigentes, calcula ingreso neto por producto y denominador de unidades sobre todos los productos; ordena y limita la presentación a 20.</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término,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Top 20 o mensaje sin productos vendidos.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RF48 / CU48</w:t>
            </w:r>
          </w:p>
        </w:tc>
      </w:tr>
    </w:tbl>
    <w:p>
      <w:pPr>
        <w:spacing w:after="20"/>
      </w:pPr>
    </w:p>
    <w:p>
      <w:pPr>
        <w:pStyle w:val="Heading1"/>
        <w:keepNext/>
        <w:spacing w:before="300" w:after="60" w:line="252" w:lineRule="auto"/>
      </w:pPr>
      <w:r>
        <w:rPr>
          <w:rFonts w:ascii="Arial" w:hAnsi="Arial"/>
          <w:b/>
          <w:color w:val="1F4E79"/>
          <w:sz w:val="28"/>
        </w:rPr>
        <w:t>9. Módulo 18: Reportes de inventario y rentabilidad</w:t>
      </w:r>
    </w:p>
    <w:p>
      <w:pPr>
        <w:keepNext/>
        <w:spacing w:before="0" w:after="60" w:line="252" w:lineRule="auto"/>
      </w:pPr>
      <w:r>
        <w:rPr>
          <w:rFonts w:ascii="Arial" w:hAnsi="Arial"/>
          <w:b w:val="0"/>
          <w:color w:val="000000"/>
          <w:sz w:val="17"/>
        </w:rPr>
        <w:t>El modelo físico no tiene una tabla MovimientoInventario genérica. C60 amplía la reconstrucción de C28 sobre Lote, VentaLote, AnulacionVenta, MermaLote, AjusteInventario y eventos de recepción/ingreso. Las asociaciones estructurales de recepción propuestas en I2 siguen siendo adaptación del modelo, no tablas existentes.</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V40</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ReporteMermasView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Mermas</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Rango de fechas; tabla con fecha, producto, EAN-13, categoría, cantidad, motivo y usuario. Pie de unidades por motivo y costo total de unidades descontadas de cada lote.</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RF49 / CU49</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exportable; tabla vacía sin mermas; rango inválido bloquea generación.</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V41</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ReporteLotesVencerView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Lotes próximos a vencer</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Horizonte 1-31 días (7 por defecto) y categoría. Solo lotes con cantidad &gt;0 y días restantes de 0 a horizonte; proveedor, unidades, vencimiento, días, unidades por categoría y costo en riesgo.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RF50 / CU50</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Listado ordenado por fecha; valor inválido: ‘Ingrese un valor entre 1 y 31 días’.</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V42</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ReporteRentabilidadView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Rentabilidad por categoría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Rango de fechas. Categoría, unidades, costo de lotes consumidos, ingreso neto y ganancia sobre costo con dos decimales; costo cero: N/A.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RF51 / CU51</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Orden descendente por porcentaje; rango inválido bloquea reporte; sin datos, tabla vacía.</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V44</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ReporteMovimientosView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Movimientos de inventario</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Rango y filtros por tipo, categoría y usuario. Lista todos los productos, cantidad firmada y stock resultante calculado antes de filtrar; resumen por tipo.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RF53 / CU53</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exportable; mensaje sin movimientos o rango inválido.</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C56</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ReporteMermasHandler: reporte:mermas</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Valida fechas; une Merma, MermaLote, Lote, Producto, Categoria y Usuario. Suma cantidades por motivo y costo histórico como unidades retiradas × costo del lote afectado.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término,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Detalle y totales; error de rango; tabla vacía sin mermas.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RF49 / CU49</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C57</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ReporteLotesVencerHandler: reporte:lotes-por-vencer</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Valida entero 1-31, por defecto 7; excluye vencidos y agotados, filtra categoría, ordena por vencimiento y calcula días, unidades por categoría y costo en riesgo según Lote_Precio_Costo.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horizonte, categoría opcional,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Lotes y resumen o validación ‘Ingrese un valor entre 1 y 31 días’.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RF50 / CU50</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C58</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ReporteRentabilidadHandler: reporte:rentabilidad-categoria</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Valida rango; toma ventas vigentes, ingreso neto tras reparto de descuento y costo de unidades consumidas por VentaLote × costo de Lote. Agrupa por categoría vigente y calcula ((ingreso−costo)/costo)×100; costo cero: N/A.</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término,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Categorías ordenadas por ganancia descendente, dos decimales; rango inválido o tabla vacía.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RF51 / CU51</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C60</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ReporteMovimientosHandler: reporte:movimientos-inventario</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Reutiliza la reconstrucción de eventos C28 para todos los productos: recepción, venta, restitución, merma y ajuste. Calcula saldo sobre secuencia íntegra antes de filtros; después aplica rango, tipo, categoría y usuario y agrega resumen por tipo.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término, tipo, categoría, usuario,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Detalle y resumen; error de rango o mensaje sin movimientos.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RF53 / CU53</w:t>
            </w:r>
          </w:p>
        </w:tc>
      </w:tr>
    </w:tbl>
    <w:p>
      <w:pPr>
        <w:spacing w:after="20"/>
      </w:pPr>
    </w:p>
    <w:p>
      <w:pPr>
        <w:pStyle w:val="Heading1"/>
        <w:keepNext/>
        <w:spacing w:before="300" w:after="60" w:line="252" w:lineRule="auto"/>
      </w:pPr>
      <w:r>
        <w:rPr>
          <w:rFonts w:ascii="Arial" w:hAnsi="Arial"/>
          <w:b/>
          <w:color w:val="1F4E79"/>
          <w:sz w:val="28"/>
        </w:rPr>
        <w:t>10. Módulo 19: Reporte de asistencia del personal</w:t>
      </w:r>
    </w:p>
    <w:p>
      <w:pPr>
        <w:keepNext/>
        <w:spacing w:before="0" w:after="60" w:line="252" w:lineRule="auto"/>
      </w:pPr>
      <w:r>
        <w:rPr>
          <w:rFonts w:ascii="Arial" w:hAnsi="Arial"/>
          <w:b w:val="0"/>
          <w:color w:val="000000"/>
          <w:sz w:val="17"/>
        </w:rPr>
        <w:t>C23/C43 del diseño anterior aporta el criterio de horas HH:MM y registro pendiente; C52 aporta la agregación mensual individual. V43 es la vista agregada para todos los trabajadores elegibles.</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V43</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ReporteAsistenciaView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Reportes &gt; Asistencia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Mes/año y filtro opcional de rol. Incluye trabajadores activos o con actividad en el período; muestra nombre, rol, días trabajados, ausencias justificadas/injustificadas, horas y promedio por día trabajado. Cero días: N/A.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RF52 / CU52</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 exportable o tabla vacía sin registros.</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C59</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ReporteAsistenciaHandler: reporte:asistencia</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Consulta Trabajador, Usuario/UsuarioVersion, Asistencia y Ausencia. Incluye activos o con actividad, aplica filtro de rol, suma horas de jornadas completas y calcula promedio; con cero días trabajados devuelve N/A.</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mes, año, rol opcional,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Filas por trabajador o tabla vacía; datos para C61.</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RF52 / CU52</w:t>
            </w:r>
          </w:p>
        </w:tc>
      </w:tr>
    </w:tbl>
    <w:p>
      <w:pPr>
        <w:spacing w:after="20"/>
      </w:pPr>
    </w:p>
    <w:p>
      <w:pPr>
        <w:pStyle w:val="Heading1"/>
        <w:keepNext/>
        <w:spacing w:before="300" w:after="60" w:line="252" w:lineRule="auto"/>
      </w:pPr>
      <w:r>
        <w:rPr>
          <w:rFonts w:ascii="Arial" w:hAnsi="Arial"/>
          <w:b/>
          <w:color w:val="1F4E79"/>
          <w:sz w:val="28"/>
        </w:rPr>
        <w:t>11. Módulo 20: Exportación transversal de reportes</w:t>
      </w:r>
    </w:p>
    <w:p>
      <w:pPr>
        <w:keepNext/>
        <w:spacing w:before="0" w:after="60" w:line="252" w:lineRule="auto"/>
      </w:pPr>
      <w:r>
        <w:rPr>
          <w:rFonts w:ascii="Arial" w:hAnsi="Arial"/>
          <w:b w:val="0"/>
          <w:color w:val="000000"/>
          <w:sz w:val="17"/>
        </w:rPr>
        <w:t>UI06 se integra en V37-V44 y solo habilita PDF/XLSX después de generar un reporte con datos. C33 de I2 aporta el patrón de exportación, pero C61 conserva la política de RF54 exclusiva del Dueño; C50 mantiene por separado el permiso de inventario de RF20.</w:t>
      </w: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C61</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ExportacionReportesHandler: reporte:exportar-pdf, reporte:exportar-xlsx</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Solo Dueño. Verifica reporte generado con datos y recupera/recalcula en Main el mismo tipo, período y filtros autorizados. PDF mediante UI07 y printToPDF; XLSX mediante exceljs. Encabezado con negocio, tipo, período, fecha/hora y usuario; nombre TipoReporte_Periodo_DD-MM-AAAA. Audita éxito.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tipo, período, filtros, formato,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Archivo o ‘No fue posible generar el archivo’ sin descarga. RF47: PDF con gráfico, XLSX con tabla diaria.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RF54 / CU54</w:t>
            </w:r>
          </w:p>
        </w:tc>
      </w:tr>
    </w:tbl>
    <w:p>
      <w:pPr>
        <w:spacing w:after="20"/>
      </w:pPr>
    </w:p>
    <w:p>
      <w:pPr>
        <w:pStyle w:val="Heading1"/>
        <w:keepNext/>
        <w:spacing w:before="300" w:after="60" w:line="252" w:lineRule="auto"/>
      </w:pPr>
      <w:r>
        <w:rPr>
          <w:rFonts w:ascii="Arial" w:hAnsi="Arial"/>
          <w:b/>
          <w:color w:val="1F4E79"/>
          <w:sz w:val="28"/>
        </w:rPr>
        <w:t>12. Módulo 21: Auditoría, restablecimiento y sesión</w:t>
      </w:r>
    </w:p>
    <w:p>
      <w:pPr>
        <w:keepNext/>
        <w:spacing w:before="0" w:after="60" w:line="252" w:lineRule="auto"/>
      </w:pPr>
      <w:r>
        <w:rPr>
          <w:rFonts w:ascii="Arial" w:hAnsi="Arial"/>
          <w:b w:val="0"/>
          <w:color w:val="000000"/>
          <w:sz w:val="17"/>
        </w:rPr>
        <w:t>Los elementos marcados * son heredados del Incremento 1 y se mantienen como un único propietario funcional. La dimensión técnica exige que la autorización se ejecute en Main y que el log funcional sea inmutable; electron-log corresponde a errores técnicos, no reemplaza LogAuditoria.</w:t>
      </w:r>
    </w:p>
    <w:p>
      <w:pPr>
        <w:pStyle w:val="Heading2"/>
        <w:keepNext/>
        <w:spacing w:before="140" w:after="60" w:line="252" w:lineRule="auto"/>
      </w:pPr>
      <w:r>
        <w:rPr>
          <w:rFonts w:ascii="Arial" w:hAnsi="Arial"/>
          <w:b/>
          <w:color w:val="1F4E79"/>
          <w:sz w:val="22"/>
        </w:rPr>
        <w:t>Vistas navegables</w:t>
      </w:r>
    </w:p>
    <w:tbl>
      <w:tblPr>
        <w:tblW w:type="auto" w:w="0"/>
        <w:jc w:val="center"/>
        <w:tblLayout w:type="fixed"/>
        <w:tblLook w:firstColumn="1" w:firstRow="1" w:lastColumn="0" w:lastRow="0" w:noHBand="0" w:noVBand="1" w:val="04A0"/>
      </w:tblPr>
      <w:tblGrid>
        <w:gridCol w:w="648"/>
        <w:gridCol w:w="1944"/>
        <w:gridCol w:w="1872"/>
        <w:gridCol w:w="4608"/>
        <w:gridCol w:w="1296"/>
        <w:gridCol w:w="1080"/>
        <w:gridCol w:w="2952"/>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 / navegación</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 y datos requeridos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Rol(es)</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Resultado esperado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V04*</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LogAuditoriaView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Administración &gt; Log de auditoría</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Reutiliza tabla solo lectura y filtros por usuario, acción y rango. El Dueño consulta registros de al menos 12 meses. El intento denegado del Trabajador se registra y lo devuelve al dashboard.</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RF58 / CU58</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Historial filtrado; acceso denegado auditado.</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V03*</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GestionUsuariosView</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Administración &gt; Usuarios</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Reutiliza selección de usuario y confirmación para restablecer contraseña. Muestra una sola vez la clave temporal de 8 caracteres, válida 24 horas.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RF59 / CU59</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Dueño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Contraseña anterior y sesiones activas invalidadas; cancelación sin cambios.</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V01/V02*</w:t>
            </w:r>
          </w:p>
        </w:tc>
        <w:tc>
          <w:tcPr>
            <w:tcW w:type="dxa" w:w="19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Login y cambio obligatorio</w:t>
            </w:r>
          </w:p>
        </w:tc>
        <w:tc>
          <w:tcPr>
            <w:tcW w:type="dxa" w:w="187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Inicio de sesión / cambio forzado</w:t>
            </w:r>
          </w:p>
        </w:tc>
        <w:tc>
          <w:tcPr>
            <w:tcW w:type="dxa" w:w="460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Con clave temporal vigente, V01 dirige solo a V02; no deja entrar a otros módulos. V02 cambia y desactiva la temporal; temporal vencida requiere nuevo restablecimiento.</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RF59 / CU59</w:t>
            </w:r>
          </w:p>
        </w:tc>
        <w:tc>
          <w:tcPr>
            <w:tcW w:type="dxa" w:w="10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Usuario objetivo</w:t>
            </w:r>
          </w:p>
        </w:tc>
        <w:tc>
          <w:tcPr>
            <w:tcW w:type="dxa" w:w="295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Acceso normal tras guardar contraseña definitiva.</w:t>
            </w:r>
          </w:p>
        </w:tc>
      </w:tr>
    </w:tbl>
    <w:p>
      <w:pPr>
        <w:spacing w:after="20"/>
      </w:pP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C04*</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AuditoriaHandler: auditoria:registrar, auditoria:consultar</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Amplía cobertura heredada: login exitoso, altas, ediciones, anulaciones, exportaciones, consultas autorizadas y denegaciones. Guarda UsuarioVersion, fecha/hora, acción, módulo y descripción en LogAuditoria inmutable; consulta solo Dueño; conserva al menos 12 meses.</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evento o filtros, JWT cuando corresponda</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Entrada creada o consulta filtrada; denegación auditada.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RF58 / CU58</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C02*</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PasswordHandler: auth:restablecer-password, auth:cambiar-password</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Restablece en transacción: genera clave alfanumérica de 8 caracteres, guarda solo hash, expira en 24 h, invalida contraseña anterior y sesiones, exige cambio. La respuesta muestra el secreto una vez; el cambio definitivo invalida temporal.</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usuario objetivo/contraseñas,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Clave temporal de única visualización o error; nueva clave definitiva.</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RF59 / CU59</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C01/C03/C05*</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Autenticación, acceso y sesión</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C01 reconoce temporal vigente/vencida. C03 bloquea todos los módulos salvo cambio obligatorio. C05 verifica revocación de sesiones del usuario objetivo incluso con JWT no expirado; C03 audita denegación con C04.</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credenciales, sesión, acción,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Acceso restringido o normal; denegación y revocación efectivas.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RF59 / CU59</w:t>
            </w:r>
          </w:p>
        </w:tc>
      </w:tr>
    </w:tbl>
    <w:p>
      <w:pPr>
        <w:spacing w:after="20"/>
      </w:pPr>
    </w:p>
    <w:p>
      <w:pPr>
        <w:pStyle w:val="Heading1"/>
        <w:keepNext/>
        <w:spacing w:before="300" w:after="60" w:line="252" w:lineRule="auto"/>
      </w:pPr>
      <w:r>
        <w:rPr>
          <w:rFonts w:ascii="Arial" w:hAnsi="Arial"/>
          <w:b/>
          <w:color w:val="1F4E79"/>
          <w:sz w:val="28"/>
        </w:rPr>
        <w:t>13. Módulo 22: Lector de código de barras EAN-13</w:t>
      </w:r>
    </w:p>
    <w:p>
      <w:pPr>
        <w:keepNext/>
        <w:spacing w:before="0" w:after="60" w:line="252" w:lineRule="auto"/>
      </w:pPr>
      <w:r>
        <w:rPr>
          <w:rFonts w:ascii="Arial" w:hAnsi="Arial"/>
          <w:b w:val="0"/>
          <w:color w:val="000000"/>
          <w:sz w:val="17"/>
        </w:rPr>
        <w:t>El lector HID transmite códigos decodificados al software. Para que ambos casos de uso lleguen a la base de datos, CU60 consulta Producto al recibir un EAN-13 y CU62 registra en LogAuditoria el fallo que el usuario reporta explícitamente en UI01. El pitido por sí solo sigue siendo local al lector.</w:t>
      </w:r>
    </w:p>
    <w:p>
      <w:pPr>
        <w:spacing w:after="60" w:line="252" w:lineRule="auto"/>
      </w:pPr>
      <w:r>
        <w:rPr>
          <w:rFonts w:ascii="Arial" w:hAnsi="Arial"/>
          <w:color w:val="000000"/>
          <w:sz w:val="17"/>
        </w:rPr>
        <w:t>CU60: Lector HID → UI01 → C24 → C13 → C_drizzle/C_libsql → Producto → producto encontrado o “Producto no encontrado”. Esta consulta forma parte del flujo de CU60 y reutiliza la búsqueda definida en CU61.</w:t>
      </w:r>
    </w:p>
    <w:p>
      <w:pPr>
        <w:spacing w:after="60" w:line="252" w:lineRule="auto"/>
      </w:pPr>
      <w:r>
        <w:rPr>
          <w:rFonts w:ascii="Arial" w:hAnsi="Arial"/>
          <w:color w:val="000000"/>
          <w:sz w:val="17"/>
        </w:rPr>
        <w:t>CU62: pitido local → usuario pulsa “Reportar lectura fallida” en UI01 → C24 → C04 → C_drizzle/C_libsql → LogAuditoria (con UsuarioVersion). Después, el campo sigue activo; un reintento o ingreso manual válido usa C13 → Producto. Un error de guardado se informa sin reiniciar la operación.</w:t>
      </w:r>
    </w:p>
    <w:p>
      <w:pPr>
        <w:pStyle w:val="Heading2"/>
        <w:keepNext/>
        <w:spacing w:before="140" w:after="60" w:line="252" w:lineRule="auto"/>
      </w:pPr>
      <w:r>
        <w:rPr>
          <w:rFonts w:ascii="Arial" w:hAnsi="Arial"/>
          <w:b/>
          <w:color w:val="1F4E79"/>
          <w:sz w:val="22"/>
        </w:rPr>
        <w:t>Controladores</w:t>
      </w:r>
    </w:p>
    <w:tbl>
      <w:tblPr>
        <w:tblW w:type="auto" w:w="0"/>
        <w:jc w:val="center"/>
        <w:tblLayout w:type="fixed"/>
        <w:tblLook w:firstColumn="1" w:firstRow="1" w:lastColumn="0" w:lastRow="0" w:noHBand="0" w:noVBand="1" w:val="04A0"/>
      </w:tblPr>
      <w:tblGrid>
        <w:gridCol w:w="648"/>
        <w:gridCol w:w="2448"/>
        <w:gridCol w:w="4680"/>
        <w:gridCol w:w="2232"/>
        <w:gridCol w:w="3096"/>
        <w:gridCol w:w="1296"/>
      </w:tblGrid>
      <w:tr>
        <w:trPr>
          <w:cantSplit/>
          <w:tblHeader w:val="true"/>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Cód.</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 / canal</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Responsabilidad</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Entradas principales</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Salidas y errores esperados</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RF/CU</w:t>
            </w:r>
          </w:p>
        </w:tc>
      </w:tr>
      <w:tr>
        <w:trPr>
          <w:cantSplit/>
        </w:trPr>
        <w:tc>
          <w:tcPr>
            <w:tcW w:type="dxa" w:w="6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C24*</w:t>
            </w:r>
          </w:p>
        </w:tc>
        <w:tc>
          <w:tcPr>
            <w:tcW w:type="dxa" w:w="244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LectorEANHandler: ean:validar-captura, ean:registrar-fallo</w:t>
            </w:r>
          </w:p>
        </w:tc>
        <w:tc>
          <w:tcPr>
            <w:tcW w:type="dxa" w:w="468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CU60: recibe el EAN válido desde UI01 y delega en C13 la consulta a Producto mediante Drizzle/libSQL. CU62: recibe la acción explícita “Reportar lectura fallida”, comprueba sesión y solicita a C04 insertar en LogAuditoria usuario/rol, fecha y hora, módulo y descripción sin EAN. Luego permite reintento o entrada manual; si llega un código válido, consulta Producto.</w:t>
            </w:r>
          </w:p>
        </w:tc>
        <w:tc>
          <w:tcPr>
            <w:tcW w:type="dxa" w:w="2232"/>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EAN capturado o acción reportar fallo, contexto de módulo, JWT</w:t>
            </w:r>
          </w:p>
        </w:tc>
        <w:tc>
          <w:tcPr>
            <w:tcW w:type="dxa" w:w="30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4"/>
              </w:rPr>
              <w:t>Producto encontrado/no encontrado; fallo registrado en LogAuditoria; error de persistencia no reinicia la operación.</w:t>
            </w:r>
          </w:p>
        </w:tc>
        <w:tc>
          <w:tcPr>
            <w:tcW w:type="dxa" w:w="129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4"/>
              </w:rPr>
              <w:t>RF60-RF62 / CU60-CU62</w:t>
            </w:r>
          </w:p>
        </w:tc>
      </w:tr>
    </w:tbl>
    <w:p>
      <w:pPr>
        <w:spacing w:after="20"/>
      </w:pPr>
    </w:p>
    <w:p>
      <w:pPr>
        <w:pStyle w:val="Heading1"/>
        <w:keepNext/>
        <w:spacing w:before="300" w:after="60" w:line="252" w:lineRule="auto"/>
      </w:pPr>
      <w:r>
        <w:rPr>
          <w:rFonts w:ascii="Arial" w:hAnsi="Arial"/>
          <w:b/>
          <w:color w:val="1F4E79"/>
          <w:sz w:val="28"/>
        </w:rPr>
        <w:t>14. Matriz de trazabilidad RF - CU - Vistas - Controladores - Arquitectura - Tablas</w:t>
      </w:r>
    </w:p>
    <w:p>
      <w:pPr>
        <w:spacing w:before="0" w:after="60" w:line="252" w:lineRule="auto"/>
      </w:pPr>
      <w:r>
        <w:rPr>
          <w:rFonts w:ascii="Arial" w:hAnsi="Arial"/>
          <w:b w:val="0"/>
          <w:color w:val="000000"/>
          <w:sz w:val="17"/>
        </w:rPr>
        <w:t>El asterisco identifica elementos heredados. En la columna de tablas se nombran entidades del modelo físico, no reportes derivados. Los nombres RecepcionPedido/DetalleRecepcion se citan solo como propuesta de I2 en las reglas, por lo que no aparecen como tablas existentes de la matriz.</w:t>
      </w:r>
    </w:p>
    <w:tbl>
      <w:tblPr>
        <w:tblW w:type="auto" w:w="0"/>
        <w:jc w:val="center"/>
        <w:tblLayout w:type="fixed"/>
        <w:tblLook w:firstColumn="1" w:firstRow="1" w:lastColumn="0" w:lastRow="0" w:noHBand="0" w:noVBand="1" w:val="04A0"/>
      </w:tblPr>
      <w:tblGrid>
        <w:gridCol w:w="720"/>
        <w:gridCol w:w="720"/>
        <w:gridCol w:w="2088"/>
        <w:gridCol w:w="1656"/>
        <w:gridCol w:w="2016"/>
        <w:gridCol w:w="3456"/>
        <w:gridCol w:w="3744"/>
      </w:tblGrid>
      <w:tr>
        <w:trPr>
          <w:cantSplit/>
          <w:tblHeader w:val="true"/>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RF</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center"/>
            </w:pPr>
            <w:r>
              <w:rPr>
                <w:rFonts w:ascii="Arial" w:hAnsi="Arial"/>
                <w:b/>
                <w:color w:val="FFFFFF"/>
                <w:sz w:val="14"/>
              </w:rPr>
              <w:t>CU</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Vista / componente</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 propios I3</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 heredados I1/I2</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Controladores técnicos de arquitectura</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shd w:fill="1F4E79"/>
          </w:tcPr>
          <w:p>
            <w:pPr>
              <w:spacing w:after="0" w:before="0" w:line="240" w:lineRule="auto"/>
              <w:jc w:val="left"/>
            </w:pPr>
            <w:r>
              <w:rPr>
                <w:rFonts w:ascii="Arial" w:hAnsi="Arial"/>
                <w:b/>
                <w:color w:val="FFFFFF"/>
                <w:sz w:val="14"/>
              </w:rPr>
              <w:t>Tablas del modelo físico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RF20</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CU20</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V06*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C50</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C03-C05, C13, C33*</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Producto, Categoria, Lote, HistorialPrecioProducto, Usuario, LogAuditoria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RF32</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CU32</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V15* + V34</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C51</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C03-C05, C21, C23</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C_cryptoNode,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Trabajador, Asistencia, Ausencia, Usuario, LogAuditoria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RF33</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CU33</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V36; V15/V19*</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C52</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C21, C23</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Trabajador, Asistencia, Ausencia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RF45</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CU45</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V12* + V35 + UI09</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C49</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C16, C17, C48</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Venta, DetalleVenta, Producto, Categoria, HistorialPrecioProducto, Usuario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RF46</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CU46</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V37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C53;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C18, C19</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Venta, DetalleVenta, Producto, Usuario, AnulacionVenta, CierreCaja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RF47</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CU47</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V38 + UI06-UI08</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C54;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C18</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Venta, DetalleVenta, Producto, Usuario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RF48</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CU48</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V39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C55;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C18</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Venta, DetalleVenta, Producto, Categoria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RF49</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CU49</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V40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C56;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C15</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Merma, MermaLote, Lote, Producto, Categoria, Usuario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RF50</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CU50</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V41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C57;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C08</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Lote, LotePerecible, Producto, Categoria, Proveedor</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RF51</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CU51</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V42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C58;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C16, C17</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Venta, DetalleVenta, VentaLote, Lote, Producto, Categoria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RF52</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CU52</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V43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C59;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C21, C23</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Trabajador, Usuario, UsuarioVersion, Asistencia, Ausencia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RF53</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CU53</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V44 + UI06/UI07</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C60; C61 al exportar</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 C05, C28</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Lote, VentaLote, Venta, AnulacionVenta, MermaLote, Merma, AjusteInventario, Producto, Categoria, Usuario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RF54</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CU54</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UI06/UI07 en V37-V44</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C61</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C03-C05, C33 como patrón</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 C_webContents.printToPDF, C_exceljs, C_electronLog</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Tablas fuente de cada reporte; Usuario y LogAuditoria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RF58</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CU58</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V04*; todas las vistas con acciones auditadas</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C01, C03, C04*, C05 y Cxx de negocio</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C_cryptoNode,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LogAuditoria, UsuarioVersion, Usuario</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RF59</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CU59</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V03*, V01*, V02*</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C01-C05*</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C_bcryptjs, C_cryptoNode, C_drizzle, C_libsql, C_webContentsSend</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Usuario, Contrasena, ContrasenaTemporal, SesionUsuario, LogAuditoria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RF60</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CU60</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UI01* en V06/V07/V09-V12 y otras</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C24*, C13, C03/C05</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Producto (consulta por EAN-13)</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RF61</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CU61</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UI01* en campo EAN activo</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C24*; C13/C16 según módulo</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C_drizzle, C_libsql en búsqueda posterior</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Producto; Venta/DetalleVenta solo si se confirma venta</w:t>
            </w:r>
          </w:p>
        </w:tc>
      </w:tr>
      <w:tr>
        <w:trPr>
          <w:cantSplit/>
        </w:trPr>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RF62</w:t>
            </w:r>
          </w:p>
        </w:tc>
        <w:tc>
          <w:tcPr>
            <w:tcW w:type="dxa" w:w="720"/>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center"/>
            </w:pPr>
            <w:r>
              <w:rPr>
                <w:rFonts w:ascii="Arial" w:hAnsi="Arial"/>
                <w:b w:val="0"/>
                <w:color w:val="000000"/>
                <w:sz w:val="13"/>
              </w:rPr>
              <w:t>CU62</w:t>
            </w:r>
          </w:p>
        </w:tc>
        <w:tc>
          <w:tcPr>
            <w:tcW w:type="dxa" w:w="2088"/>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UI01* en campo EAN activo</w:t>
            </w:r>
          </w:p>
        </w:tc>
        <w:tc>
          <w:tcPr>
            <w:tcW w:type="dxa" w:w="16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w:t>
            </w:r>
          </w:p>
        </w:tc>
        <w:tc>
          <w:tcPr>
            <w:tcW w:type="dxa" w:w="201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C24*, C04, C03/C05; C13 al reintentar</w:t>
            </w:r>
          </w:p>
        </w:tc>
        <w:tc>
          <w:tcPr>
            <w:tcW w:type="dxa" w:w="3456"/>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C_jsonwebtoken, C_cryptoNode, C_drizzle, C_libsql</w:t>
            </w:r>
          </w:p>
        </w:tc>
        <w:tc>
          <w:tcPr>
            <w:tcW w:type="dxa" w:w="3744"/>
            <w:vAlign w:val="center"/>
            <w:tcBorders>
              <w:top w:val="single" w:sz="4" w:color="000000"/>
              <w:left w:val="single" w:sz="4" w:color="000000"/>
              <w:bottom w:val="single" w:sz="4" w:color="000000"/>
              <w:right w:val="single" w:sz="4" w:color="000000"/>
            </w:tcBorders>
            <w:tcMar>
              <w:top w:w="65" w:type="dxa"/>
              <w:start w:w="70" w:type="dxa"/>
              <w:bottom w:w="65" w:type="dxa"/>
              <w:end w:w="70" w:type="dxa"/>
            </w:tcMar>
          </w:tcPr>
          <w:p>
            <w:pPr>
              <w:spacing w:after="0" w:before="0" w:line="240" w:lineRule="auto"/>
              <w:jc w:val="left"/>
            </w:pPr>
            <w:r>
              <w:rPr>
                <w:rFonts w:ascii="Arial" w:hAnsi="Arial"/>
                <w:b w:val="0"/>
                <w:color w:val="000000"/>
                <w:sz w:val="13"/>
              </w:rPr>
              <w:t>LogAuditoria, UsuarioVersion; Producto si llega un EAN válido</w:t>
            </w:r>
          </w:p>
        </w:tc>
      </w:tr>
    </w:tbl>
    <w:p>
      <w:pPr>
        <w:spacing w:after="20"/>
      </w:pPr>
    </w:p>
    <w:p>
      <w:pPr>
        <w:pStyle w:val="Heading1"/>
        <w:keepNext/>
        <w:spacing w:before="300" w:after="60" w:line="252" w:lineRule="auto"/>
      </w:pPr>
      <w:r>
        <w:rPr>
          <w:rFonts w:ascii="Arial" w:hAnsi="Arial"/>
          <w:b/>
          <w:color w:val="1F4E79"/>
          <w:sz w:val="28"/>
        </w:rPr>
        <w:t>15. Reglas de consistencia para implementación</w:t>
      </w:r>
    </w:p>
    <w:tbl>
      <w:tblPr>
        <w:tblW w:type="auto" w:w="0"/>
        <w:jc w:val="center"/>
        <w:tblLayout w:type="fixed"/>
        <w:tblLook w:firstColumn="1" w:firstRow="1" w:lastColumn="0" w:lastRow="0" w:noHBand="0" w:noVBand="1" w:val="04A0"/>
      </w:tblPr>
      <w:tblGrid>
        <w:gridCol w:w="2880"/>
        <w:gridCol w:w="11520"/>
      </w:tblGrid>
      <w:tr>
        <w:trPr>
          <w:cantSplit/>
          <w:tblHeader w:val="true"/>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shd w:fill="1F4E79"/>
          </w:tcPr>
          <w:p>
            <w:pPr>
              <w:spacing w:after="0" w:before="0" w:line="240" w:lineRule="auto"/>
              <w:jc w:val="left"/>
            </w:pPr>
            <w:r>
              <w:rPr>
                <w:rFonts w:ascii="Arial" w:hAnsi="Arial"/>
                <w:b/>
                <w:color w:val="FFFFFF"/>
                <w:sz w:val="14"/>
              </w:rPr>
              <w:t>Criterio</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shd w:fill="1F4E79"/>
          </w:tcPr>
          <w:p>
            <w:pPr>
              <w:spacing w:after="0" w:before="0" w:line="240" w:lineRule="auto"/>
              <w:jc w:val="left"/>
            </w:pPr>
            <w:r>
              <w:rPr>
                <w:rFonts w:ascii="Arial" w:hAnsi="Arial"/>
                <w:b/>
                <w:color w:val="FFFFFF"/>
                <w:sz w:val="14"/>
              </w:rPr>
              <w:t>Regla aplicable</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Fuente y herencia</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V06/V12/V15/V19 y V01-V04, UI01, C01-C05, C13, C16, C18, C21, C23, C24 y C28/C33 son heredados. V34-V44 y C49-C61 son responsabilidades de I3; V35/C49 retoman los códigos reservados en I2 para RF45. Códigos de diseño no son índices del registro IPC.</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Permisos</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CU20 nombra al Dueño como actor; RF20 incluye la identificación del Dueño o Trabajador y el acuerdo I2 permite exportación de inventario a ambos roles. C50 comprueba permiso RF57 en Main. RF54 y los reportes V37-V44 son exclusivos del Dueño. RF45 limita al Trabajador a ventas propias.</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Fechas y estado</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Usar America/Santiago para días, meses y cortes; fin inclusivo mediante límite superior exclusivo del día siguiente. Las ventas anuladas se conservan en detalle, pero no integran métodos, top, montos o porcentajes de ventas vigentes. RF46 sí las presenta separadas.</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Descuentos en CLP</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Para cada venta distribuir el descuento global entre sus líneas según subtotales. Asignar pesos enteros con restos mayores y desempate estable por identificador de línea; la suma de descuentos asignados debe igualar el descuento original y la suma neta el total final. Reutilizar la misma función en RF45, RF46, RF48 y RF51.</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Categoría y precio</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La categoría de consultas históricas se resuelve desde el Producto/Categoria vigente, como ordena RF45; no se crea una categoría histórica ficticia en DetalleVenta. El precio histórico proviene de HistorialPrecioProducto vinculado por DetalleVenta.</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Costo histórico</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RF49 calcula merma con MermaLote × Lote_Precio_Costo; RF51 calcula costo vendido con VentaLote × Lote_Precio_Costo. No usar precio de costo maestro vigente para pérdidas o rentabilidad pasadas.</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Saldo de movimientos</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RF53 calcula stock resultante sobre todos los eventos de cada producto antes de filtros. Diferenciar ingreso de lote y ajuste de ingreso heredado para no duplicar. Restitución se fecha al anular. Los datos históricos sin responsable comprobable se identifican, no se inventan.</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Reportes y exportación</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No existen tablas Reporte ni MovimientoInventario en el modelo físico. Los datos se calculan desde tablas operativas. C61 recalcula en Main y rechaza exportación sin datos; RF47 PDF incluye gráfico, XLSX incluye tabla diaria. Los errores técnicos se registran con electron-log y la exportación exitosa con C04.</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Ausencias y asistencia</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C51 verifica duplicidad diaria contra Ausencia y Asistencia en una transacción. Los días sin registro no aparecen en V36. Las jornadas sin salida quedan Pendiente, no aportan horas cerradas ni promedio hasta completar salida. Semanas de V36 son lunes-domingo recortadas al mes.</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Auditoría y credenciales</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LogAuditoria mantiene identidad y rol mediante UsuarioVersion y sus triggers de inmutabilidad; retención mínima 12 meses. C02 guarda hash, no contraseña temporal en claro. Revocar SesionUsuario hace que C05 rechace JWT previamente emitidos. El secreto temporal se muestra solo en la respuesta del restablecimiento.</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Lector HID</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CU60 consulta Producto por EAN-13 tras la transmisión correcta. CU62 exige la acción explícita “Reportar lectura fallida” porque el HID no transmite fallos: C24/C04 insertan el evento en LogAuditoria; el reintento o ingreso manual válido también consulta Producto. Ningún error óptico se atribuye automáticamente al software.</w:t>
            </w:r>
          </w:p>
        </w:tc>
      </w:tr>
      <w:tr>
        <w:trPr>
          <w:cantSplit/>
        </w:trPr>
        <w:tc>
          <w:tcPr>
            <w:tcW w:type="dxa" w:w="288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Adaptaciones I2</w:t>
            </w:r>
          </w:p>
        </w:tc>
        <w:tc>
          <w:tcPr>
            <w:tcW w:type="dxa" w:w="11520"/>
            <w:vAlign w:val="center"/>
            <w:tcBorders>
              <w:top w:val="single" w:sz="4" w:color="000000"/>
              <w:left w:val="single" w:sz="4" w:color="000000"/>
              <w:bottom w:val="single" w:sz="4" w:color="000000"/>
              <w:right w:val="single" w:sz="4" w:color="000000"/>
            </w:tcBorders>
            <w:tcMar>
              <w:top w:w="30" w:type="dxa"/>
              <w:start w:w="70" w:type="dxa"/>
              <w:bottom w:w="30" w:type="dxa"/>
              <w:end w:w="70" w:type="dxa"/>
            </w:tcMar>
          </w:tcPr>
          <w:p>
            <w:pPr>
              <w:spacing w:after="0" w:before="0" w:line="240" w:lineRule="auto"/>
              <w:jc w:val="left"/>
            </w:pPr>
            <w:r>
              <w:rPr>
                <w:rFonts w:ascii="Arial" w:hAnsi="Arial"/>
                <w:b w:val="0"/>
                <w:color w:val="000000"/>
                <w:sz w:val="14"/>
              </w:rPr>
              <w:t>RF53 integrará RecepcionPedido/DetalleRecepcion si se implementan; son propuestas de I2 y no figuran como tablas actuales.</w:t>
            </w:r>
          </w:p>
        </w:tc>
      </w:tr>
    </w:tbl>
    <w:p>
      <w:pPr>
        <w:spacing w:after="20"/>
      </w:pPr>
    </w:p>
    <w:sectPr>
      <w:pgSz w:h="12240" w:w="15840" w:orient="landscape"/>
      <w:pgMar w:bottom="504" w:top="648"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N9A0LHC9w7noziEfASTnh7ELA==">CgMxLjA4AHIhMXdTcmtqc1RMZVJPMXpPTjFMdzY5V1NEWFp6bk5hOEt5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