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28" w:rsidRPr="001B5762" w:rsidRDefault="00C81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371847">
          <v:rect id="_x0000_i1025" style="width:0;height:1.5pt" o:hralign="center" o:hrstd="t" o:hr="t" fillcolor="#a0a0a0" stroked="f"/>
        </w:pic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>Estudiantes:</w:t>
      </w:r>
      <w:r w:rsidRPr="001B57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 xml:space="preserve">Astudillo Tixicuro Hugo </w:t>
      </w:r>
      <w:r w:rsidR="00140CBB" w:rsidRPr="001B5762">
        <w:rPr>
          <w:rFonts w:ascii="Times New Roman" w:hAnsi="Times New Roman" w:cs="Times New Roman"/>
          <w:color w:val="000000"/>
          <w:sz w:val="24"/>
          <w:szCs w:val="24"/>
        </w:rPr>
        <w:t>Darío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>Tinoco Alvarado Jenifer Paulina</w:t>
      </w:r>
    </w:p>
    <w:p w:rsidR="00BE6E28" w:rsidRPr="001B5762" w:rsidRDefault="00C2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color w:val="000000"/>
          <w:sz w:val="24"/>
          <w:szCs w:val="24"/>
        </w:rPr>
        <w:t>Zurita Toro César Vinicio</w:t>
      </w:r>
    </w:p>
    <w:p w:rsidR="00BE6E28" w:rsidRPr="001B5762" w:rsidRDefault="00C268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Fecha de entrega: </w:t>
      </w:r>
      <w:r w:rsidR="0060139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732A4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82304E" w:rsidRPr="001B5762">
        <w:rPr>
          <w:rFonts w:ascii="Times New Roman" w:hAnsi="Times New Roman" w:cs="Times New Roman"/>
          <w:color w:val="000000"/>
          <w:sz w:val="24"/>
          <w:szCs w:val="24"/>
        </w:rPr>
        <w:t xml:space="preserve"> /junio</w:t>
      </w:r>
      <w:r w:rsidRPr="001B5762">
        <w:rPr>
          <w:rFonts w:ascii="Times New Roman" w:hAnsi="Times New Roman" w:cs="Times New Roman"/>
          <w:color w:val="000000"/>
          <w:sz w:val="24"/>
          <w:szCs w:val="24"/>
        </w:rPr>
        <w:t>/ 2020</w: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>Tema:</w:t>
      </w:r>
      <w:r w:rsidRPr="001B5762">
        <w:rPr>
          <w:rFonts w:ascii="Times New Roman" w:hAnsi="Times New Roman" w:cs="Times New Roman"/>
          <w:sz w:val="24"/>
          <w:szCs w:val="24"/>
        </w:rPr>
        <w:t xml:space="preserve"> </w:t>
      </w:r>
      <w:r w:rsidR="00B51E3D">
        <w:rPr>
          <w:rFonts w:ascii="Times New Roman" w:hAnsi="Times New Roman" w:cs="Times New Roman"/>
          <w:sz w:val="24"/>
          <w:szCs w:val="24"/>
        </w:rPr>
        <w:t xml:space="preserve">Aplicación de </w:t>
      </w:r>
      <w:r w:rsidR="00B51E3D" w:rsidRPr="00B51E3D">
        <w:rPr>
          <w:rFonts w:ascii="Times New Roman" w:hAnsi="Times New Roman" w:cs="Times New Roman"/>
          <w:sz w:val="24"/>
          <w:szCs w:val="24"/>
        </w:rPr>
        <w:t>ISO 12207</w:t>
      </w:r>
      <w:r w:rsidR="00B51E3D">
        <w:rPr>
          <w:rFonts w:ascii="Times New Roman" w:hAnsi="Times New Roman" w:cs="Times New Roman"/>
          <w:sz w:val="24"/>
          <w:szCs w:val="24"/>
        </w:rPr>
        <w:t xml:space="preserve"> al </w:t>
      </w:r>
      <w:r w:rsidR="00601391">
        <w:rPr>
          <w:rFonts w:ascii="Times New Roman" w:hAnsi="Times New Roman" w:cs="Times New Roman"/>
          <w:sz w:val="24"/>
          <w:szCs w:val="24"/>
        </w:rPr>
        <w:t>proyecto asignado.</w:t>
      </w:r>
    </w:p>
    <w:p w:rsidR="00BE6E28" w:rsidRPr="001B5762" w:rsidRDefault="00C2680F">
      <w:pPr>
        <w:rPr>
          <w:rFonts w:ascii="Times New Roman" w:hAnsi="Times New Roman" w:cs="Times New Roman"/>
          <w:sz w:val="24"/>
          <w:szCs w:val="24"/>
        </w:rPr>
      </w:pPr>
      <w:r w:rsidRPr="001B5762">
        <w:rPr>
          <w:rFonts w:ascii="Times New Roman" w:hAnsi="Times New Roman" w:cs="Times New Roman"/>
          <w:b/>
          <w:color w:val="1C4587"/>
          <w:sz w:val="24"/>
          <w:szCs w:val="24"/>
        </w:rPr>
        <w:t xml:space="preserve">Paralelo: </w:t>
      </w:r>
      <w:r w:rsidRPr="001B5762">
        <w:rPr>
          <w:rFonts w:ascii="Times New Roman" w:hAnsi="Times New Roman" w:cs="Times New Roman"/>
          <w:sz w:val="24"/>
          <w:szCs w:val="24"/>
        </w:rPr>
        <w:t>“A”</w:t>
      </w:r>
    </w:p>
    <w:p w:rsidR="00B8248B" w:rsidRPr="004E7519" w:rsidRDefault="004D1DF7" w:rsidP="00B8248B">
      <w:pPr>
        <w:jc w:val="center"/>
        <w:rPr>
          <w:rFonts w:ascii="Times New Roman" w:hAnsi="Times New Roman" w:cs="Times New Roman"/>
          <w:b/>
          <w:color w:val="1C4587"/>
          <w:sz w:val="28"/>
          <w:szCs w:val="24"/>
        </w:rPr>
      </w:pPr>
      <w:r w:rsidRPr="004E7519">
        <w:rPr>
          <w:rFonts w:ascii="Times New Roman" w:hAnsi="Times New Roman" w:cs="Times New Roman"/>
          <w:b/>
          <w:color w:val="1C4587"/>
          <w:sz w:val="28"/>
          <w:szCs w:val="24"/>
        </w:rPr>
        <w:t>TAREA 1 – SEMANA-11</w:t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</w:rPr>
        <w:drawing>
          <wp:inline distT="0" distB="0" distL="0" distR="0" wp14:anchorId="63EA0EE6" wp14:editId="07CD1E17">
            <wp:extent cx="5737238" cy="440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731" cy="4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</w:rPr>
        <w:lastRenderedPageBreak/>
        <w:drawing>
          <wp:inline distT="0" distB="0" distL="0" distR="0" wp14:anchorId="7CC6CA76" wp14:editId="74C48CF1">
            <wp:extent cx="2821832" cy="561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811" cy="56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2" w:rsidRDefault="004D1862" w:rsidP="00B51E3D">
      <w:pPr>
        <w:jc w:val="center"/>
        <w:rPr>
          <w:sz w:val="28"/>
          <w:szCs w:val="40"/>
          <w:lang w:val="es-ES"/>
        </w:rPr>
      </w:pPr>
      <w:r w:rsidRPr="004D1862">
        <w:rPr>
          <w:noProof/>
          <w:sz w:val="28"/>
          <w:szCs w:val="40"/>
        </w:rPr>
        <w:drawing>
          <wp:inline distT="0" distB="0" distL="0" distR="0" wp14:anchorId="7DDC54AC" wp14:editId="14F57C26">
            <wp:extent cx="5915353" cy="3028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382" cy="30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D" w:rsidRDefault="00B51E3D" w:rsidP="00B51E3D">
      <w:pPr>
        <w:jc w:val="center"/>
        <w:rPr>
          <w:sz w:val="28"/>
          <w:szCs w:val="40"/>
          <w:lang w:val="es-ES"/>
        </w:rPr>
      </w:pPr>
      <w:r w:rsidRPr="00B51E3D">
        <w:rPr>
          <w:noProof/>
          <w:sz w:val="28"/>
          <w:szCs w:val="40"/>
        </w:rPr>
        <w:lastRenderedPageBreak/>
        <w:drawing>
          <wp:inline distT="0" distB="0" distL="0" distR="0">
            <wp:extent cx="4667250" cy="2800350"/>
            <wp:effectExtent l="0" t="0" r="0" b="0"/>
            <wp:docPr id="5" name="Imagen 5" descr="https://normasyestandaresproyectosti.files.wordpress.com/2015/01/procesos12207.jpg?w=49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rmasyestandaresproyectosti.files.wordpress.com/2015/01/procesos12207.jpg?w=490&amp;h=3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29" w:rsidRPr="00B75D29" w:rsidRDefault="00B75D29" w:rsidP="00B75D29">
      <w:pPr>
        <w:pStyle w:val="font8"/>
        <w:rPr>
          <w:b/>
        </w:rPr>
      </w:pPr>
      <w:r w:rsidRPr="00B75D29">
        <w:rPr>
          <w:b/>
        </w:rPr>
        <w:t>Procesos Primarios</w:t>
      </w:r>
    </w:p>
    <w:p w:rsidR="00B75D29" w:rsidRDefault="00B75D29" w:rsidP="00B75D29">
      <w:pPr>
        <w:pStyle w:val="font8"/>
      </w:pPr>
      <w:r w:rsidRPr="00B75D29">
        <w:rPr>
          <w:b/>
        </w:rPr>
        <w:t>1.- Proceso de adquisición:</w:t>
      </w:r>
      <w:r>
        <w:t> Define las actividades del adquiriente, la organización que adquiere un sistema, producto de software o servicio de software.</w:t>
      </w:r>
    </w:p>
    <w:p w:rsidR="007751C3" w:rsidRDefault="007751C3" w:rsidP="007751C3">
      <w:pPr>
        <w:spacing w:after="240"/>
        <w:ind w:left="360"/>
        <w:jc w:val="both"/>
        <w:rPr>
          <w:b/>
          <w:color w:val="000000" w:themeColor="text1"/>
        </w:rPr>
      </w:pPr>
      <w:r w:rsidRPr="003578DA">
        <w:rPr>
          <w:b/>
          <w:color w:val="000000" w:themeColor="text1"/>
        </w:rPr>
        <w:t xml:space="preserve">Requisitos no funcionales </w:t>
      </w:r>
    </w:p>
    <w:p w:rsidR="007751C3" w:rsidRDefault="007751C3" w:rsidP="007751C3">
      <w:pPr>
        <w:spacing w:after="24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Producto</w:t>
      </w:r>
    </w:p>
    <w:p w:rsidR="007751C3" w:rsidRPr="003578DA" w:rsidRDefault="007751C3" w:rsidP="007751C3">
      <w:pPr>
        <w:spacing w:after="240"/>
        <w:jc w:val="both"/>
        <w:rPr>
          <w:b/>
          <w:color w:val="000000" w:themeColor="text1"/>
        </w:rPr>
      </w:pPr>
      <w:r w:rsidRPr="003578DA">
        <w:rPr>
          <w:b/>
          <w:color w:val="000000" w:themeColor="text1"/>
        </w:rPr>
        <w:t>Usabilidad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 xml:space="preserve">Todos los campos deben ser escritos de tal forma que sean entendibles al usuario. 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La tasa de error de los usuarios será menor al 2%</w:t>
      </w:r>
      <w:r>
        <w:rPr>
          <w:color w:val="000000" w:themeColor="text1"/>
        </w:rPr>
        <w:t>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tiempo de aprendizaje por un usuario debe ser menor a 3 horas.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debe contar con manuales de usuario estructurados adecuadamente.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debe proporcionar mensaje de error que sean informáticos y orientados al usuario final.</w:t>
      </w:r>
    </w:p>
    <w:p w:rsidR="007751C3" w:rsidRPr="003578DA" w:rsidRDefault="007751C3" w:rsidP="007751C3">
      <w:pPr>
        <w:pStyle w:val="Prrafodelista"/>
        <w:spacing w:after="240"/>
        <w:jc w:val="both"/>
        <w:rPr>
          <w:color w:val="000000" w:themeColor="text1"/>
        </w:rPr>
      </w:pPr>
    </w:p>
    <w:p w:rsidR="007751C3" w:rsidRPr="003578DA" w:rsidRDefault="007751C3" w:rsidP="007751C3">
      <w:pPr>
        <w:pStyle w:val="Prrafodelista"/>
        <w:numPr>
          <w:ilvl w:val="0"/>
          <w:numId w:val="14"/>
        </w:numPr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debe contar con módulos de ayuda.</w:t>
      </w:r>
    </w:p>
    <w:p w:rsidR="007751C3" w:rsidRPr="003578DA" w:rsidRDefault="007751C3" w:rsidP="007751C3">
      <w:pPr>
        <w:tabs>
          <w:tab w:val="left" w:pos="0"/>
        </w:tabs>
        <w:spacing w:after="240"/>
        <w:jc w:val="both"/>
        <w:rPr>
          <w:b/>
          <w:color w:val="000000" w:themeColor="text1"/>
        </w:rPr>
      </w:pPr>
      <w:r w:rsidRPr="003578DA">
        <w:rPr>
          <w:b/>
          <w:color w:val="000000" w:themeColor="text1"/>
        </w:rPr>
        <w:t>Eficiencia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software responderá en menos de 5 segundos a cualquier transacción.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La transacción del usuario para revisar lo pendiente así como para registrar sus avances será menor a 5 minutos.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debe ser capaz  de operar adecuadamente con hasta 5.000 usuarios con sesiones concurrentes.</w:t>
      </w:r>
    </w:p>
    <w:p w:rsidR="007751C3" w:rsidRPr="003578DA" w:rsidRDefault="007751C3" w:rsidP="007751C3">
      <w:pPr>
        <w:tabs>
          <w:tab w:val="left" w:pos="2025"/>
        </w:tabs>
        <w:spacing w:after="240"/>
        <w:jc w:val="both"/>
        <w:rPr>
          <w:b/>
          <w:color w:val="000000" w:themeColor="text1"/>
        </w:rPr>
      </w:pPr>
      <w:r w:rsidRPr="003578DA">
        <w:rPr>
          <w:b/>
          <w:color w:val="000000" w:themeColor="text1"/>
        </w:rPr>
        <w:t xml:space="preserve"> </w:t>
      </w:r>
      <w:proofErr w:type="spellStart"/>
      <w:r w:rsidRPr="003578DA">
        <w:rPr>
          <w:b/>
          <w:color w:val="000000" w:themeColor="text1"/>
        </w:rPr>
        <w:t>Dependibilidad</w:t>
      </w:r>
      <w:proofErr w:type="spellEnd"/>
      <w:r w:rsidRPr="003578DA">
        <w:rPr>
          <w:b/>
          <w:color w:val="000000" w:themeColor="text1"/>
        </w:rPr>
        <w:t xml:space="preserve"> 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El sistema se recuperara ante fallos en menos de 30 minutos.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 xml:space="preserve">El software será  fácilmente </w:t>
      </w:r>
      <w:proofErr w:type="spellStart"/>
      <w:r w:rsidRPr="003578DA">
        <w:rPr>
          <w:color w:val="000000" w:themeColor="text1"/>
        </w:rPr>
        <w:t>mantenible</w:t>
      </w:r>
      <w:proofErr w:type="spellEnd"/>
      <w:r w:rsidRPr="003578DA">
        <w:rPr>
          <w:color w:val="000000" w:themeColor="text1"/>
        </w:rPr>
        <w:t>.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lastRenderedPageBreak/>
        <w:t>El sistema debe estar disponible 24/7.</w:t>
      </w:r>
    </w:p>
    <w:p w:rsidR="007751C3" w:rsidRPr="003578DA" w:rsidRDefault="007751C3" w:rsidP="007751C3">
      <w:pPr>
        <w:tabs>
          <w:tab w:val="left" w:pos="2025"/>
        </w:tabs>
        <w:spacing w:after="240"/>
        <w:rPr>
          <w:b/>
          <w:color w:val="000000" w:themeColor="text1"/>
        </w:rPr>
      </w:pPr>
      <w:r w:rsidRPr="003578DA">
        <w:rPr>
          <w:b/>
          <w:color w:val="000000" w:themeColor="text1"/>
        </w:rPr>
        <w:t>Seguridad lógica y de datos</w:t>
      </w:r>
    </w:p>
    <w:p w:rsidR="007751C3" w:rsidRPr="003578DA" w:rsidRDefault="007751C3" w:rsidP="007751C3">
      <w:pPr>
        <w:pStyle w:val="Prrafodelista"/>
        <w:numPr>
          <w:ilvl w:val="0"/>
          <w:numId w:val="15"/>
        </w:numPr>
        <w:tabs>
          <w:tab w:val="left" w:pos="2025"/>
        </w:tabs>
        <w:spacing w:after="240"/>
        <w:rPr>
          <w:color w:val="000000" w:themeColor="text1"/>
        </w:rPr>
      </w:pPr>
      <w:r w:rsidRPr="003578DA">
        <w:rPr>
          <w:color w:val="000000" w:themeColor="text1"/>
        </w:rPr>
        <w:t>Todos deben ingresar al módulo con usuario y contraseña.</w:t>
      </w:r>
    </w:p>
    <w:p w:rsidR="007751C3" w:rsidRPr="003578DA" w:rsidRDefault="007751C3" w:rsidP="007751C3">
      <w:pPr>
        <w:pStyle w:val="Prrafodelista"/>
        <w:numPr>
          <w:ilvl w:val="0"/>
          <w:numId w:val="15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Los permisos de acceso al sistema podrá</w:t>
      </w:r>
      <w:r>
        <w:rPr>
          <w:color w:val="000000" w:themeColor="text1"/>
        </w:rPr>
        <w:t>n</w:t>
      </w:r>
      <w:r w:rsidRPr="003578DA">
        <w:rPr>
          <w:color w:val="000000" w:themeColor="text1"/>
        </w:rPr>
        <w:t xml:space="preserve"> solamente ser cambiados por el administrador del sistema.</w:t>
      </w:r>
    </w:p>
    <w:p w:rsidR="007751C3" w:rsidRDefault="007751C3" w:rsidP="007751C3">
      <w:pPr>
        <w:pStyle w:val="Prrafodelista"/>
        <w:numPr>
          <w:ilvl w:val="0"/>
          <w:numId w:val="15"/>
        </w:numPr>
        <w:tabs>
          <w:tab w:val="left" w:pos="2025"/>
        </w:tabs>
        <w:spacing w:after="240"/>
        <w:rPr>
          <w:color w:val="000000" w:themeColor="text1"/>
        </w:rPr>
      </w:pPr>
      <w:r w:rsidRPr="003578DA">
        <w:rPr>
          <w:color w:val="000000" w:themeColor="text1"/>
        </w:rPr>
        <w:t>Las bases de datos deben respaldarse cada 24 horas, y estos deben ser almacenados en una localidad segura en un edificio distinto de la que reside el sistema.</w:t>
      </w:r>
    </w:p>
    <w:p w:rsidR="007751C3" w:rsidRDefault="007751C3" w:rsidP="007751C3">
      <w:pPr>
        <w:spacing w:after="240"/>
        <w:ind w:left="36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Organizacionales</w:t>
      </w:r>
    </w:p>
    <w:p w:rsidR="007751C3" w:rsidRPr="003578DA" w:rsidRDefault="007751C3" w:rsidP="007751C3">
      <w:pPr>
        <w:spacing w:after="240"/>
        <w:ind w:left="36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Organizacional de desarrollo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 xml:space="preserve">Como gestor de base de datos se utilizara </w:t>
      </w:r>
      <w:proofErr w:type="spellStart"/>
      <w:r w:rsidRPr="003578DA">
        <w:rPr>
          <w:color w:val="000000" w:themeColor="text1"/>
        </w:rPr>
        <w:t>Mysql</w:t>
      </w:r>
      <w:proofErr w:type="spellEnd"/>
      <w:r w:rsidRPr="003578DA">
        <w:rPr>
          <w:color w:val="000000" w:themeColor="text1"/>
        </w:rPr>
        <w:t>.</w:t>
      </w:r>
    </w:p>
    <w:p w:rsidR="007751C3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Como lenguaje de programación se utilizará Java</w:t>
      </w:r>
      <w:r>
        <w:rPr>
          <w:color w:val="000000" w:themeColor="text1"/>
        </w:rPr>
        <w:t>.</w:t>
      </w:r>
    </w:p>
    <w:p w:rsidR="007751C3" w:rsidRPr="00DF6631" w:rsidRDefault="007751C3" w:rsidP="007751C3">
      <w:pPr>
        <w:tabs>
          <w:tab w:val="left" w:pos="2025"/>
        </w:tabs>
        <w:spacing w:after="240"/>
        <w:ind w:left="360"/>
        <w:jc w:val="both"/>
        <w:rPr>
          <w:b/>
          <w:color w:val="000000" w:themeColor="text1"/>
        </w:rPr>
      </w:pPr>
      <w:r w:rsidRPr="00DF6631">
        <w:rPr>
          <w:b/>
          <w:color w:val="000000" w:themeColor="text1"/>
        </w:rPr>
        <w:t>Organizacional operacional</w:t>
      </w:r>
    </w:p>
    <w:p w:rsidR="007751C3" w:rsidRPr="003578DA" w:rsidRDefault="007751C3" w:rsidP="007751C3">
      <w:pPr>
        <w:pStyle w:val="Prrafodelista"/>
        <w:numPr>
          <w:ilvl w:val="0"/>
          <w:numId w:val="14"/>
        </w:numPr>
        <w:tabs>
          <w:tab w:val="left" w:pos="2025"/>
        </w:tabs>
        <w:spacing w:after="240"/>
        <w:jc w:val="both"/>
        <w:rPr>
          <w:color w:val="000000" w:themeColor="text1"/>
        </w:rPr>
      </w:pPr>
      <w:r w:rsidRPr="003578DA">
        <w:rPr>
          <w:color w:val="000000" w:themeColor="text1"/>
        </w:rPr>
        <w:t>Todos  los usuarios utilizarán un pc que acceder a la BD de la empresa, exclusivamente a los datos personales y del contrato.</w:t>
      </w:r>
    </w:p>
    <w:p w:rsidR="007751C3" w:rsidRDefault="007751C3" w:rsidP="00B75D29">
      <w:pPr>
        <w:pStyle w:val="font8"/>
      </w:pPr>
      <w:bookmarkStart w:id="0" w:name="_GoBack"/>
      <w:bookmarkEnd w:id="0"/>
    </w:p>
    <w:p w:rsidR="00B75D29" w:rsidRDefault="00B75D29" w:rsidP="00CE67DC">
      <w:pPr>
        <w:pStyle w:val="font8"/>
        <w:jc w:val="both"/>
      </w:pPr>
      <w:r w:rsidRPr="00B75D29">
        <w:rPr>
          <w:b/>
        </w:rPr>
        <w:t>2.- Proceso de suministro:</w:t>
      </w:r>
      <w:r>
        <w:t> Define las actividades del proveedor, organización que proporciona un sistema, producto de software o servicio de software al adquiriente.</w:t>
      </w:r>
    </w:p>
    <w:p w:rsidR="00B75D29" w:rsidRDefault="00B75D29" w:rsidP="00CE67DC">
      <w:pPr>
        <w:pStyle w:val="font8"/>
        <w:jc w:val="both"/>
      </w:pPr>
      <w:r w:rsidRPr="00B75D29">
        <w:rPr>
          <w:b/>
        </w:rPr>
        <w:t>3.- Proceso de desarrollo:</w:t>
      </w:r>
      <w:r>
        <w:t> El Proceso de Desarrollo contiene las actividades y tareas del desarrollador.</w:t>
      </w:r>
    </w:p>
    <w:p w:rsidR="00B75D29" w:rsidRDefault="00B75D29" w:rsidP="00CE67DC">
      <w:pPr>
        <w:pStyle w:val="font8"/>
        <w:jc w:val="both"/>
      </w:pPr>
      <w:r w:rsidRPr="00B75D29">
        <w:rPr>
          <w:b/>
        </w:rPr>
        <w:t>4.- Proceso de operación:</w:t>
      </w:r>
      <w:r>
        <w:t> Define las actividades del operador, organización que proporciona el servicio de operar un sistema informático en su entorno real, para sus usuarios.</w:t>
      </w:r>
    </w:p>
    <w:p w:rsidR="00B75D29" w:rsidRPr="00B75D29" w:rsidRDefault="00B75D29" w:rsidP="00CE67DC">
      <w:pPr>
        <w:pStyle w:val="font8"/>
        <w:jc w:val="both"/>
      </w:pPr>
      <w:r w:rsidRPr="00B75D29">
        <w:rPr>
          <w:b/>
        </w:rPr>
        <w:t>5.- Proceso de mantenimiento:</w:t>
      </w:r>
      <w:r>
        <w:t> Define las actividades del responsable de mantenimiento, organización que proporciona el servicio de mantenimiento del producto software; esto es, la gestión de las modificaciones al producto software actualizada y operativa.</w:t>
      </w:r>
    </w:p>
    <w:p w:rsidR="00B51E3D" w:rsidRPr="004D1862" w:rsidRDefault="00B51E3D" w:rsidP="009720C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Procesos de Soporte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1.- Proceso de documentación: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el registro de la información producida por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2.-Proceso de administración de la configuración: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de la gestión de la configuración.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3.- Proceso de aseguramiento de la calidad: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asegurar, de una manera objetiva, que los productos software y los procesos son conformes a sus requisitos especificados y se ajustan a sus planes establecidos.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4.- Proceso de verificación: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(para el adquiriente, proveedor o una parte independiente) para verificar hasta un nivel de detalle dependiente del proyecto software, los productos software.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5.- Proceso de validación: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(para el adquiriente, proveedor o una parte independiente) para validar los productos software del proyecto software.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6.- Proceso de revisión conjunta: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para evaluar el estado y productos de una actividad. Este proceso puede ser empleado por cualquiera de las dos partes, donde una de las partes (la revisora) revisa a la otra parte (la parte revisada), de una manera conjunta.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7.- Proceso de auditoría: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Este proceso puede ser empleado por dos partes cuales quiera, donde una parte (la auditora) audita los productos software o actividades de otra parte (la auditada).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8.- Proceso de resolución de problemas: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un proceso para analizar y eliminar los problemas (incluyendo las no conformidades) que sean descubiertos durante la ejecución del proceso de desarrollo, operación, mantenimiento u otros procesos, cualquiera que sea su naturaleza o causa.</w:t>
      </w:r>
    </w:p>
    <w:p w:rsidR="00B51E3D" w:rsidRPr="004D1862" w:rsidRDefault="00B51E3D" w:rsidP="009720C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Procesos Organizacionales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1.- Proceso de gestión: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de gestión, incluyendo la gestión de proyectos, durante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2.- Proceso de infraestructura: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para establecer la infraestructura de un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 xml:space="preserve">3.- Proceso de mejora: 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>Define las actividades básicas que una organización (adquiriente, proveedor, desarrollador, operador, responsable de mantenimiento o gestor de otro proceso) lleva a cabo para establecer, medir, controlar y mejorar su proceso del ciclo de vida.</w:t>
      </w:r>
    </w:p>
    <w:p w:rsidR="00B51E3D" w:rsidRPr="009720CC" w:rsidRDefault="00B51E3D" w:rsidP="009720C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D1862">
        <w:rPr>
          <w:rFonts w:ascii="Times New Roman" w:hAnsi="Times New Roman" w:cs="Times New Roman"/>
          <w:b/>
          <w:sz w:val="24"/>
          <w:szCs w:val="24"/>
          <w:lang w:val="es-ES"/>
        </w:rPr>
        <w:t>4.- Proceso de entrenamiento:</w:t>
      </w:r>
      <w:r w:rsidRPr="009720CC">
        <w:rPr>
          <w:rFonts w:ascii="Times New Roman" w:hAnsi="Times New Roman" w:cs="Times New Roman"/>
          <w:sz w:val="24"/>
          <w:szCs w:val="24"/>
          <w:lang w:val="es-ES"/>
        </w:rPr>
        <w:t xml:space="preserve"> Define las actividades básicas para conseguir personal adecuadamente formado.</w:t>
      </w: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69442950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B51E3D" w:rsidRPr="00141736" w:rsidRDefault="00B51E3D">
          <w:pPr>
            <w:pStyle w:val="Ttulo1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141736">
            <w:rPr>
              <w:rFonts w:ascii="Times New Roman" w:hAnsi="Times New Roman" w:cs="Times New Roman"/>
              <w:b/>
              <w:sz w:val="28"/>
              <w:szCs w:val="24"/>
              <w:lang w:val="es-ES"/>
            </w:rPr>
            <w:t>Bibliografía</w:t>
          </w:r>
        </w:p>
        <w:sdt>
          <w:sdtPr>
            <w:rPr>
              <w:rFonts w:ascii="Times New Roman" w:hAnsi="Times New Roman" w:cs="Times New Roman"/>
              <w:sz w:val="28"/>
              <w:szCs w:val="24"/>
            </w:rPr>
            <w:id w:val="111145805"/>
            <w:bibliography/>
          </w:sdtPr>
          <w:sdtEndPr/>
          <w:sdtContent>
            <w:p w:rsidR="00B51E3D" w:rsidRPr="00141736" w:rsidRDefault="00B51E3D" w:rsidP="00B51E3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4"/>
                </w:rPr>
              </w:pP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fldChar w:fldCharType="begin"/>
              </w: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instrText>BIBLIOGRAPHY</w:instrText>
              </w:r>
              <w:r w:rsidRPr="00141736">
                <w:rPr>
                  <w:rFonts w:ascii="Times New Roman" w:hAnsi="Times New Roman" w:cs="Times New Roman"/>
                  <w:sz w:val="28"/>
                  <w:szCs w:val="24"/>
                </w:rPr>
                <w:fldChar w:fldCharType="separate"/>
              </w:r>
              <w:r w:rsidRPr="00141736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4"/>
                </w:rPr>
                <w:t>normasyestandaresproyectosti</w:t>
              </w:r>
              <w:r w:rsidRPr="00141736">
                <w:rPr>
                  <w:rFonts w:ascii="Times New Roman" w:hAnsi="Times New Roman" w:cs="Times New Roman"/>
                  <w:noProof/>
                  <w:sz w:val="28"/>
                  <w:szCs w:val="24"/>
                </w:rPr>
                <w:t>. (s.f.). Obtenido de https://normasyestandaresproyectosti.wordpress.com/2015/01/29/iso-12207/</w:t>
              </w:r>
            </w:p>
            <w:p w:rsidR="00B51E3D" w:rsidRPr="009720CC" w:rsidRDefault="00B51E3D" w:rsidP="00B51E3D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141736">
                <w:rPr>
                  <w:rFonts w:ascii="Times New Roman" w:hAnsi="Times New Roman" w:cs="Times New Roman"/>
                  <w:b/>
                  <w:bCs/>
                  <w:sz w:val="28"/>
                  <w:szCs w:val="24"/>
                </w:rPr>
                <w:lastRenderedPageBreak/>
                <w:fldChar w:fldCharType="end"/>
              </w:r>
            </w:p>
          </w:sdtContent>
        </w:sdt>
      </w:sdtContent>
    </w:sdt>
    <w:p w:rsidR="00B8248B" w:rsidRPr="009720CC" w:rsidRDefault="00B8248B" w:rsidP="00B51E3D">
      <w:pPr>
        <w:pStyle w:val="Ttulo1"/>
        <w:rPr>
          <w:rFonts w:ascii="Times New Roman" w:hAnsi="Times New Roman" w:cs="Times New Roman"/>
          <w:sz w:val="24"/>
          <w:szCs w:val="24"/>
        </w:rPr>
      </w:pPr>
    </w:p>
    <w:sectPr w:rsidR="00B8248B" w:rsidRPr="009720CC" w:rsidSect="001B5762">
      <w:headerReference w:type="default" r:id="rId12"/>
      <w:footerReference w:type="default" r:id="rId13"/>
      <w:pgSz w:w="11909" w:h="16834"/>
      <w:pgMar w:top="1417" w:right="1701" w:bottom="1417" w:left="1701" w:header="0" w:footer="4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73E" w:rsidRDefault="00C8173E">
      <w:pPr>
        <w:spacing w:line="240" w:lineRule="auto"/>
      </w:pPr>
      <w:r>
        <w:separator/>
      </w:r>
    </w:p>
  </w:endnote>
  <w:endnote w:type="continuationSeparator" w:id="0">
    <w:p w:rsidR="00C8173E" w:rsidRDefault="00C81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E28" w:rsidRDefault="00C8173E">
    <w:pPr>
      <w:rPr>
        <w:b/>
        <w:color w:val="1C4587"/>
        <w:sz w:val="18"/>
        <w:szCs w:val="18"/>
      </w:rPr>
    </w:pPr>
    <w:r>
      <w:pict>
        <v:rect id="_x0000_i1026" style="width:0;height:1.5pt" o:hralign="center" o:hrstd="t" o:hr="t" fillcolor="#a0a0a0" stroked="f"/>
      </w:pict>
    </w:r>
    <w:r w:rsidR="00C2680F">
      <w:rPr>
        <w:b/>
        <w:color w:val="1C4587"/>
        <w:sz w:val="18"/>
        <w:szCs w:val="18"/>
      </w:rPr>
      <w:t xml:space="preserve"> Docente: </w:t>
    </w:r>
    <w:r w:rsidR="00560CD2" w:rsidRPr="00560CD2">
      <w:rPr>
        <w:b/>
        <w:color w:val="1C4587"/>
        <w:sz w:val="18"/>
        <w:szCs w:val="18"/>
      </w:rPr>
      <w:t>Mg. Mario Pérez</w:t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  <w:r w:rsidR="00C2680F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73E" w:rsidRDefault="00C8173E">
      <w:pPr>
        <w:spacing w:line="240" w:lineRule="auto"/>
      </w:pPr>
      <w:r>
        <w:separator/>
      </w:r>
    </w:p>
  </w:footnote>
  <w:footnote w:type="continuationSeparator" w:id="0">
    <w:p w:rsidR="00C8173E" w:rsidRDefault="00C81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E28" w:rsidRDefault="004D1862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-3810</wp:posOffset>
          </wp:positionH>
          <wp:positionV relativeFrom="paragraph">
            <wp:posOffset>76200</wp:posOffset>
          </wp:positionV>
          <wp:extent cx="952500" cy="752475"/>
          <wp:effectExtent l="0" t="0" r="0" b="9525"/>
          <wp:wrapSquare wrapText="bothSides" distT="0" distB="0" distL="114300" distR="114300"/>
          <wp:docPr id="3" name="image1.png" descr="https://docs.google.com/a/uisrael.edu.ec/drawings/d/s5Ajo5swdiZ8PGc10amUwtg/image?w=100&amp;h=84&amp;rev=3&amp;ac=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docs.google.com/a/uisrael.edu.ec/drawings/d/s5Ajo5swdiZ8PGc10amUwtg/image?w=100&amp;h=84&amp;rev=3&amp;ac=1"/>
                  <pic:cNvPicPr preferRelativeResize="0"/>
                </pic:nvPicPr>
                <pic:blipFill rotWithShape="1">
                  <a:blip r:embed="rId1"/>
                  <a:srcRect b="5952"/>
                  <a:stretch/>
                </pic:blipFill>
                <pic:spPr bwMode="auto">
                  <a:xfrm>
                    <a:off x="0" y="0"/>
                    <a:ext cx="952500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E6E28" w:rsidRDefault="00BE6E28"/>
  <w:p w:rsidR="00BE6E28" w:rsidRDefault="00C2680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:rsidR="00BE6E28" w:rsidRDefault="00C2680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:rsidR="00BE6E28" w:rsidRDefault="00C2680F">
    <w:pPr>
      <w:jc w:val="center"/>
    </w:pPr>
    <w:r>
      <w:rPr>
        <w:b/>
        <w:color w:val="1C4587"/>
      </w:rPr>
      <w:t>INGENIERÍA SOFTWARE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1C5"/>
    <w:multiLevelType w:val="hybridMultilevel"/>
    <w:tmpl w:val="00A2B6B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2B8"/>
    <w:multiLevelType w:val="multilevel"/>
    <w:tmpl w:val="37C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A353C"/>
    <w:multiLevelType w:val="hybridMultilevel"/>
    <w:tmpl w:val="1D50032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3E4"/>
    <w:multiLevelType w:val="hybridMultilevel"/>
    <w:tmpl w:val="EC8A16F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27C12"/>
    <w:multiLevelType w:val="hybridMultilevel"/>
    <w:tmpl w:val="14C076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6554E"/>
    <w:multiLevelType w:val="hybridMultilevel"/>
    <w:tmpl w:val="BBA43534"/>
    <w:lvl w:ilvl="0" w:tplc="8280D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F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4E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2B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B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C7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E3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80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0A0C4A"/>
    <w:multiLevelType w:val="hybridMultilevel"/>
    <w:tmpl w:val="5988514A"/>
    <w:lvl w:ilvl="0" w:tplc="0BAAB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B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28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49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C2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69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E0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2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86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3E5B2E"/>
    <w:multiLevelType w:val="hybridMultilevel"/>
    <w:tmpl w:val="A066195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A3C6D"/>
    <w:multiLevelType w:val="hybridMultilevel"/>
    <w:tmpl w:val="88465E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55229"/>
    <w:multiLevelType w:val="hybridMultilevel"/>
    <w:tmpl w:val="4F4EF66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5108A"/>
    <w:multiLevelType w:val="hybridMultilevel"/>
    <w:tmpl w:val="61AA186C"/>
    <w:lvl w:ilvl="0" w:tplc="66C4E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CA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68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68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6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A0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A9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AD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C9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562D10"/>
    <w:multiLevelType w:val="hybridMultilevel"/>
    <w:tmpl w:val="9406107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853F7"/>
    <w:multiLevelType w:val="hybridMultilevel"/>
    <w:tmpl w:val="BF1E5D7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53163"/>
    <w:multiLevelType w:val="hybridMultilevel"/>
    <w:tmpl w:val="DD98A14C"/>
    <w:lvl w:ilvl="0" w:tplc="6A14F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6AC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871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22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E4D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F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50A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60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B56E4E"/>
    <w:multiLevelType w:val="multilevel"/>
    <w:tmpl w:val="E2A0D25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28"/>
    <w:rsid w:val="00101B59"/>
    <w:rsid w:val="00102FA4"/>
    <w:rsid w:val="00113D04"/>
    <w:rsid w:val="00115A6D"/>
    <w:rsid w:val="00140CBB"/>
    <w:rsid w:val="00141736"/>
    <w:rsid w:val="001667A5"/>
    <w:rsid w:val="001A1735"/>
    <w:rsid w:val="001B2802"/>
    <w:rsid w:val="001B5762"/>
    <w:rsid w:val="001F0247"/>
    <w:rsid w:val="00214ADB"/>
    <w:rsid w:val="002C032A"/>
    <w:rsid w:val="00301161"/>
    <w:rsid w:val="003031D2"/>
    <w:rsid w:val="0037127C"/>
    <w:rsid w:val="00371B79"/>
    <w:rsid w:val="00384A77"/>
    <w:rsid w:val="00386189"/>
    <w:rsid w:val="00394063"/>
    <w:rsid w:val="00401333"/>
    <w:rsid w:val="00406224"/>
    <w:rsid w:val="0040763D"/>
    <w:rsid w:val="0044727B"/>
    <w:rsid w:val="00480A9E"/>
    <w:rsid w:val="00485B88"/>
    <w:rsid w:val="00490F56"/>
    <w:rsid w:val="004967FF"/>
    <w:rsid w:val="004A19E0"/>
    <w:rsid w:val="004A7CF2"/>
    <w:rsid w:val="004D1862"/>
    <w:rsid w:val="004D1DF7"/>
    <w:rsid w:val="004E5B12"/>
    <w:rsid w:val="004E7519"/>
    <w:rsid w:val="004F320F"/>
    <w:rsid w:val="00560CD2"/>
    <w:rsid w:val="00574940"/>
    <w:rsid w:val="005E6198"/>
    <w:rsid w:val="00601391"/>
    <w:rsid w:val="00673242"/>
    <w:rsid w:val="00693278"/>
    <w:rsid w:val="006F3B06"/>
    <w:rsid w:val="00750F6A"/>
    <w:rsid w:val="00763E93"/>
    <w:rsid w:val="00774706"/>
    <w:rsid w:val="00774E07"/>
    <w:rsid w:val="007751C3"/>
    <w:rsid w:val="007A39F5"/>
    <w:rsid w:val="0082304E"/>
    <w:rsid w:val="0085232E"/>
    <w:rsid w:val="00884E15"/>
    <w:rsid w:val="008E10D3"/>
    <w:rsid w:val="008E222D"/>
    <w:rsid w:val="008E631B"/>
    <w:rsid w:val="00901852"/>
    <w:rsid w:val="009720CC"/>
    <w:rsid w:val="009732A4"/>
    <w:rsid w:val="009958DE"/>
    <w:rsid w:val="009A39E2"/>
    <w:rsid w:val="009D330C"/>
    <w:rsid w:val="009E193D"/>
    <w:rsid w:val="00A049F9"/>
    <w:rsid w:val="00A058BB"/>
    <w:rsid w:val="00A25807"/>
    <w:rsid w:val="00A636D2"/>
    <w:rsid w:val="00A956D7"/>
    <w:rsid w:val="00AF30E4"/>
    <w:rsid w:val="00B51E3D"/>
    <w:rsid w:val="00B75D29"/>
    <w:rsid w:val="00B8248B"/>
    <w:rsid w:val="00B91DEA"/>
    <w:rsid w:val="00B96310"/>
    <w:rsid w:val="00BC315C"/>
    <w:rsid w:val="00BE6E28"/>
    <w:rsid w:val="00C15683"/>
    <w:rsid w:val="00C21299"/>
    <w:rsid w:val="00C2680F"/>
    <w:rsid w:val="00C5462D"/>
    <w:rsid w:val="00C57744"/>
    <w:rsid w:val="00C8173E"/>
    <w:rsid w:val="00C8348F"/>
    <w:rsid w:val="00CA5CC1"/>
    <w:rsid w:val="00CB5D69"/>
    <w:rsid w:val="00CE67DC"/>
    <w:rsid w:val="00D164C8"/>
    <w:rsid w:val="00D2514F"/>
    <w:rsid w:val="00E124A2"/>
    <w:rsid w:val="00E47EF7"/>
    <w:rsid w:val="00E867E7"/>
    <w:rsid w:val="00E9744B"/>
    <w:rsid w:val="00EE5A6D"/>
    <w:rsid w:val="00F53F81"/>
    <w:rsid w:val="00F64376"/>
    <w:rsid w:val="00F80D9B"/>
    <w:rsid w:val="00FA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D21687-A25C-4C59-869E-09044026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40C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230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0C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CD2"/>
  </w:style>
  <w:style w:type="paragraph" w:styleId="Piedepgina">
    <w:name w:val="footer"/>
    <w:basedOn w:val="Normal"/>
    <w:link w:val="PiedepginaCar"/>
    <w:uiPriority w:val="99"/>
    <w:unhideWhenUsed/>
    <w:rsid w:val="00560C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CD2"/>
  </w:style>
  <w:style w:type="character" w:styleId="Hipervnculovisitado">
    <w:name w:val="FollowedHyperlink"/>
    <w:basedOn w:val="Fuentedeprrafopredeter"/>
    <w:uiPriority w:val="99"/>
    <w:semiHidden/>
    <w:unhideWhenUsed/>
    <w:rsid w:val="004A7CF2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A7CF2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4A7CF2"/>
  </w:style>
  <w:style w:type="table" w:styleId="Tabladecuadrcula4-nfasis6">
    <w:name w:val="Grid Table 4 Accent 6"/>
    <w:basedOn w:val="Tablanormal"/>
    <w:uiPriority w:val="49"/>
    <w:rsid w:val="00F6437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ontstyle01">
    <w:name w:val="fontstyle01"/>
    <w:basedOn w:val="Fuentedeprrafopredeter"/>
    <w:rsid w:val="004A19E0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table" w:styleId="Tablaconcuadrcula">
    <w:name w:val="Table Grid"/>
    <w:basedOn w:val="Tablanormal"/>
    <w:uiPriority w:val="39"/>
    <w:rsid w:val="004A19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4A19E0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5E6198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font8">
    <w:name w:val="font_8"/>
    <w:basedOn w:val="Normal"/>
    <w:rsid w:val="00B7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decuadrcula6concolores-nfasis5">
    <w:name w:val="Grid Table 6 Colorful Accent 5"/>
    <w:basedOn w:val="Tablanormal"/>
    <w:uiPriority w:val="51"/>
    <w:rsid w:val="00E9744B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9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5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</b:Tag>
    <b:SourceType>InternetSite</b:SourceType>
    <b:Guid>{88C58F99-CCBE-4B5A-87D2-9EBD3FFD6EA7}</b:Guid>
    <b:Title>normasyestandaresproyectosti</b:Title>
    <b:URL>https://normasyestandaresproyectosti.wordpress.com/2015/01/29/iso-12207/</b:URL>
    <b:RefOrder>1</b:RefOrder>
  </b:Source>
</b:Sources>
</file>

<file path=customXml/itemProps1.xml><?xml version="1.0" encoding="utf-8"?>
<ds:datastoreItem xmlns:ds="http://schemas.openxmlformats.org/officeDocument/2006/customXml" ds:itemID="{4FCCD5FD-8AC4-48BE-B229-39358872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Tinoco</dc:creator>
  <cp:lastModifiedBy>Dario Astudillo</cp:lastModifiedBy>
  <cp:revision>70</cp:revision>
  <dcterms:created xsi:type="dcterms:W3CDTF">2020-06-14T23:58:00Z</dcterms:created>
  <dcterms:modified xsi:type="dcterms:W3CDTF">2020-07-06T00:12:00Z</dcterms:modified>
</cp:coreProperties>
</file>