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35" w:rsidRDefault="00190935">
      <w:r>
        <w:rPr>
          <w:b/>
          <w:bCs/>
          <w:color w:val="04329F"/>
          <w:sz w:val="28"/>
          <w:szCs w:val="28"/>
        </w:rPr>
        <w:t xml:space="preserve">Sección #8 – Conexión y empezando con </w:t>
      </w:r>
      <w:proofErr w:type="spellStart"/>
      <w:r>
        <w:rPr>
          <w:b/>
          <w:bCs/>
          <w:color w:val="04329F"/>
          <w:sz w:val="28"/>
          <w:szCs w:val="28"/>
        </w:rPr>
        <w:t>Tableau</w:t>
      </w:r>
      <w:proofErr w:type="spellEnd"/>
    </w:p>
    <w:p w:rsidR="00702BFE" w:rsidRDefault="00190935">
      <w:r>
        <w:t xml:space="preserve"> </w:t>
      </w:r>
      <w:r w:rsidR="00702BFE">
        <w:t xml:space="preserve">Capturas de pantalla de la conexión: </w:t>
      </w:r>
    </w:p>
    <w:p w:rsidR="00702BFE" w:rsidRDefault="00702BFE" w:rsidP="00702BFE">
      <w:pPr>
        <w:pStyle w:val="NormalWeb"/>
      </w:pPr>
      <w:r>
        <w:rPr>
          <w:noProof/>
        </w:rPr>
        <w:drawing>
          <wp:inline distT="0" distB="0" distL="0" distR="0">
            <wp:extent cx="6539789" cy="4359859"/>
            <wp:effectExtent l="190500" t="190500" r="185420" b="193675"/>
            <wp:docPr id="1" name="Imagen 1" descr="C:\Users\ivajc\Desktop\entregable_final_reto_big_data\Conexion 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jc\Desktop\entregable_final_reto_big_data\Conexion E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87" cy="4362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BFE" w:rsidRDefault="00702BFE"/>
    <w:p w:rsidR="00702BFE" w:rsidRDefault="00702BFE">
      <w:r>
        <w:t>Elección y explicació</w:t>
      </w:r>
      <w:r w:rsidR="00230BC0">
        <w:t>n del contaminante: (0,2 puntos</w:t>
      </w:r>
    </w:p>
    <w:p w:rsidR="00702BFE" w:rsidRDefault="00702BFE">
      <w:r>
        <w:t xml:space="preserve">El </w:t>
      </w:r>
      <w:r>
        <w:rPr>
          <w:rStyle w:val="Textoennegrita"/>
        </w:rPr>
        <w:t>O₃ (ozono troposférico)</w:t>
      </w:r>
      <w:r>
        <w:t xml:space="preserve"> es un contaminante secundario que se forma en la atmósfera baja (troposfera) a partir de reacciones químicas entre precursores como los óxidos de nitrógeno (</w:t>
      </w:r>
      <w:r>
        <w:rPr>
          <w:rStyle w:val="Textoennegrita"/>
        </w:rPr>
        <w:t>NOₓ</w:t>
      </w:r>
      <w:r>
        <w:t>) y compuestos orgánicos volátiles (</w:t>
      </w:r>
      <w:proofErr w:type="spellStart"/>
      <w:r>
        <w:rPr>
          <w:rStyle w:val="Textoennegrita"/>
        </w:rPr>
        <w:t>COVs</w:t>
      </w:r>
      <w:proofErr w:type="spellEnd"/>
      <w:r>
        <w:t>), en presencia de luz solar.</w:t>
      </w:r>
    </w:p>
    <w:p w:rsidR="00190935" w:rsidRDefault="0019093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[CS03] Capturas de pantalla del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- índice: (0,25 puntos)</w:t>
      </w:r>
    </w:p>
    <w:p w:rsidR="00190935" w:rsidRDefault="00571571">
      <w:r>
        <w:t xml:space="preserve">                                                      </w:t>
      </w:r>
      <w:r w:rsidRPr="00571571">
        <w:rPr>
          <w:noProof/>
          <w:lang w:eastAsia="es-ES"/>
        </w:rPr>
        <w:drawing>
          <wp:inline distT="0" distB="0" distL="0" distR="0" wp14:anchorId="46EBFE45" wp14:editId="4CD7B31F">
            <wp:extent cx="4261886" cy="1433779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64" cy="14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71" w:rsidRDefault="00571571">
      <w:pPr>
        <w:rPr>
          <w:i/>
          <w:iCs/>
          <w:sz w:val="20"/>
          <w:szCs w:val="20"/>
        </w:rPr>
      </w:pPr>
    </w:p>
    <w:p w:rsidR="00571571" w:rsidRDefault="00571571">
      <w:pPr>
        <w:rPr>
          <w:i/>
          <w:iCs/>
          <w:sz w:val="20"/>
          <w:szCs w:val="20"/>
        </w:rPr>
      </w:pPr>
    </w:p>
    <w:p w:rsidR="00230BC0" w:rsidRDefault="00230BC0">
      <w:pPr>
        <w:rPr>
          <w:i/>
          <w:iCs/>
          <w:sz w:val="20"/>
          <w:szCs w:val="20"/>
        </w:rPr>
      </w:pPr>
    </w:p>
    <w:p w:rsidR="00230BC0" w:rsidRDefault="00230BC0">
      <w:pPr>
        <w:rPr>
          <w:i/>
          <w:iCs/>
          <w:sz w:val="20"/>
          <w:szCs w:val="20"/>
        </w:rPr>
      </w:pPr>
    </w:p>
    <w:p w:rsidR="00571571" w:rsidRDefault="005715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Capturas de pantalla del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- gráficos: </w:t>
      </w:r>
    </w:p>
    <w:p w:rsidR="009C668B" w:rsidRDefault="009C668B">
      <w:pPr>
        <w:rPr>
          <w:i/>
          <w:iCs/>
          <w:sz w:val="20"/>
          <w:szCs w:val="20"/>
        </w:rPr>
      </w:pPr>
      <w:r w:rsidRPr="0057157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47A8E18" wp14:editId="6CA9ED95">
            <wp:simplePos x="650875" y="2830830"/>
            <wp:positionH relativeFrom="margin">
              <wp:align>right</wp:align>
            </wp:positionH>
            <wp:positionV relativeFrom="margin">
              <wp:posOffset>655015</wp:posOffset>
            </wp:positionV>
            <wp:extent cx="2581910" cy="3028315"/>
            <wp:effectExtent l="190500" t="190500" r="199390" b="1911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74" cy="3028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68B">
        <w:rPr>
          <w:b/>
          <w:bCs/>
        </w:rPr>
        <w:t>Ozono (O3)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Evolución mensual</w:t>
      </w:r>
      <w:r w:rsidRPr="00571571">
        <w:t>: Cómo varían los niveles promedio de ozono (O3) mes a mes para diferentes estaciones.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Comparación entre estaciones</w:t>
      </w:r>
      <w:r w:rsidRPr="00571571">
        <w:t>: Muestra diferencias en los niveles de ozono entre las distintas ubicaciones (las líneas de diferentes colores).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Comparación con el límite recomendado</w:t>
      </w:r>
      <w:r w:rsidRPr="00571571">
        <w:t>: Permite identificar si los valores de ozono superan el límite de 100 µg/m³ en ciertos meses o ubicaciones.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Patrones de variación estacional</w:t>
      </w:r>
      <w:r w:rsidRPr="00571571">
        <w:t>: Se observa cómo el ozono tiende a aumentar en ciertos meses (como marzo-julio) y disminuir en otros (octubre-diciembre), reflejando un patrón cíclico.</w:t>
      </w:r>
    </w:p>
    <w:p w:rsidR="00571571" w:rsidRDefault="00571571"/>
    <w:p w:rsidR="009C668B" w:rsidRPr="009C668B" w:rsidRDefault="009C668B" w:rsidP="009C668B">
      <w:pPr>
        <w:rPr>
          <w:b/>
          <w:bCs/>
        </w:rPr>
      </w:pPr>
      <w:r w:rsidRPr="009C668B">
        <w:rPr>
          <w:b/>
          <w:bCs/>
        </w:rPr>
        <w:t>Relación con el Ozono (O3)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radiacion</w:t>
      </w:r>
      <w:proofErr w:type="spellEnd"/>
    </w:p>
    <w:p w:rsidR="009C668B" w:rsidRPr="009C668B" w:rsidRDefault="009C668B" w:rsidP="009C668B">
      <w:r w:rsidRPr="009C668B">
        <w:t xml:space="preserve">La radiación solar tiene una </w:t>
      </w:r>
      <w:r w:rsidRPr="009C668B">
        <w:rPr>
          <w:b/>
          <w:bCs/>
        </w:rPr>
        <w:t>relación directa con la formación de ozono troposférico (O3)</w:t>
      </w:r>
      <w:r w:rsidRPr="009C668B">
        <w:t xml:space="preserve">, ya que este contaminante secundario se produce por reacciones fotoquímicas entre contaminantes precursores (como los </w:t>
      </w:r>
      <w:proofErr w:type="spellStart"/>
      <w:r w:rsidRPr="009C668B">
        <w:t>NOx</w:t>
      </w:r>
      <w:proofErr w:type="spellEnd"/>
      <w:r w:rsidRPr="009C668B">
        <w:t xml:space="preserve"> y compuestos orgánicos volátiles, </w:t>
      </w:r>
      <w:proofErr w:type="spellStart"/>
      <w:r w:rsidRPr="009C668B">
        <w:t>COVs</w:t>
      </w:r>
      <w:proofErr w:type="spellEnd"/>
      <w:r w:rsidRPr="009C668B">
        <w:t xml:space="preserve">) en presencia de </w:t>
      </w:r>
      <w:r w:rsidRPr="009C668B">
        <w:rPr>
          <w:b/>
          <w:bCs/>
        </w:rPr>
        <w:t>luz solar intensa</w:t>
      </w:r>
      <w:r w:rsidRPr="009C668B">
        <w:t>.</w:t>
      </w:r>
    </w:p>
    <w:p w:rsidR="009C668B" w:rsidRPr="009C668B" w:rsidRDefault="009C668B" w:rsidP="009C668B">
      <w:pPr>
        <w:numPr>
          <w:ilvl w:val="0"/>
          <w:numId w:val="2"/>
        </w:numPr>
      </w:pPr>
      <w:r w:rsidRPr="009C668B">
        <w:rPr>
          <w:b/>
          <w:bCs/>
        </w:rPr>
        <w:t>Meses de alta radiación (mayo-julio)</w:t>
      </w:r>
      <w:r w:rsidRPr="009C668B">
        <w:t>: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64E632C" wp14:editId="283F4EFA">
            <wp:simplePos x="0" y="0"/>
            <wp:positionH relativeFrom="margin">
              <wp:posOffset>3792855</wp:posOffset>
            </wp:positionH>
            <wp:positionV relativeFrom="margin">
              <wp:posOffset>5497195</wp:posOffset>
            </wp:positionV>
            <wp:extent cx="2910840" cy="2816225"/>
            <wp:effectExtent l="190500" t="190500" r="194310" b="1936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1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68B">
        <w:t xml:space="preserve">Durante estos meses, la </w:t>
      </w:r>
      <w:r w:rsidRPr="009C668B">
        <w:rPr>
          <w:b/>
          <w:bCs/>
        </w:rPr>
        <w:t>radiación solar más intensa</w:t>
      </w:r>
      <w:r w:rsidRPr="009C668B">
        <w:t xml:space="preserve"> y las </w:t>
      </w:r>
      <w:r w:rsidRPr="009C668B">
        <w:rPr>
          <w:b/>
          <w:bCs/>
        </w:rPr>
        <w:t>altas temperaturas</w:t>
      </w:r>
      <w:r w:rsidRPr="009C668B">
        <w:t xml:space="preserve"> favorecen la formación de ozono.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 xml:space="preserve">Esto coincide con los valores más altos de </w:t>
      </w:r>
      <w:r w:rsidRPr="009C668B">
        <w:rPr>
          <w:b/>
          <w:bCs/>
        </w:rPr>
        <w:t>O3</w:t>
      </w:r>
      <w:r w:rsidRPr="009C668B">
        <w:t xml:space="preserve"> observados en gráficos anteriores, especialmente en primavera y verano.</w:t>
      </w:r>
    </w:p>
    <w:p w:rsidR="009C668B" w:rsidRPr="009C668B" w:rsidRDefault="009C668B" w:rsidP="009C668B">
      <w:pPr>
        <w:numPr>
          <w:ilvl w:val="0"/>
          <w:numId w:val="2"/>
        </w:numPr>
      </w:pPr>
      <w:r w:rsidRPr="009C668B">
        <w:rPr>
          <w:b/>
          <w:bCs/>
        </w:rPr>
        <w:t>Meses de baja radiación (noviembre-enero)</w:t>
      </w:r>
      <w:r w:rsidRPr="009C668B">
        <w:t>: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>En estos meses, la menor radiación solar reduce las reacciones fotoquímicas, disminuyendo así los niveles de ozono.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 xml:space="preserve">Los valores de radiación bajos se relacionan con los niveles más bajos de </w:t>
      </w:r>
      <w:r w:rsidRPr="009C668B">
        <w:rPr>
          <w:b/>
          <w:bCs/>
        </w:rPr>
        <w:t>O3</w:t>
      </w:r>
      <w:r w:rsidRPr="009C668B">
        <w:t>, observados también en los meses de invierno.</w:t>
      </w:r>
    </w:p>
    <w:p w:rsidR="009C668B" w:rsidRDefault="009C668B"/>
    <w:p w:rsidR="000466EC" w:rsidRDefault="000466EC"/>
    <w:p w:rsidR="000466EC" w:rsidRDefault="000466EC"/>
    <w:p w:rsidR="000466EC" w:rsidRDefault="000466EC">
      <w:r>
        <w:lastRenderedPageBreak/>
        <w:t xml:space="preserve">Capturas de pantalla del </w:t>
      </w:r>
      <w:proofErr w:type="spellStart"/>
      <w:r>
        <w:t>dashboard</w:t>
      </w:r>
      <w:proofErr w:type="spellEnd"/>
    </w:p>
    <w:p w:rsidR="000466EC" w:rsidRDefault="000466EC">
      <w:bookmarkStart w:id="0" w:name="_GoBack"/>
      <w:r w:rsidRPr="000466EC">
        <w:drawing>
          <wp:inline distT="0" distB="0" distL="0" distR="0" wp14:anchorId="6F2BAAA2" wp14:editId="697A8FAF">
            <wp:extent cx="6729984" cy="41226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6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6EC" w:rsidSect="00702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BD1"/>
    <w:multiLevelType w:val="multilevel"/>
    <w:tmpl w:val="164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C3360"/>
    <w:multiLevelType w:val="multilevel"/>
    <w:tmpl w:val="747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FE"/>
    <w:rsid w:val="000466EC"/>
    <w:rsid w:val="00190935"/>
    <w:rsid w:val="00230BC0"/>
    <w:rsid w:val="00356CF4"/>
    <w:rsid w:val="00571571"/>
    <w:rsid w:val="005B79E2"/>
    <w:rsid w:val="00702BFE"/>
    <w:rsid w:val="009A6D17"/>
    <w:rsid w:val="009C0DA3"/>
    <w:rsid w:val="009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02B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02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3</cp:revision>
  <dcterms:created xsi:type="dcterms:W3CDTF">2024-12-18T21:52:00Z</dcterms:created>
  <dcterms:modified xsi:type="dcterms:W3CDTF">2024-12-19T06:57:00Z</dcterms:modified>
</cp:coreProperties>
</file>