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UNIDAD DE SEGUNDA ESPECIALIDAD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TÍTULO DE &lt;&lt;PROGRAMAS&gt;&gt;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AUTORIZACIÓN DE PUBLICACIÓN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Señor: 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Cumpliendo con el Reglamento de Grados y Títulos, el jurado Acuerda APROBAR LA PUBLICACIÓN de dicha investigación para optar 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Tesis 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NOMBRES Y APELLIDOS DEL JURADO</w:t>
        <w:tab/>
        <w:tab/>
        <w:tab/>
        <w:t xml:space="preserve">                                    FIRMA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Presidente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r07mzmw60u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&lt;&lt;PRESIDENTE ETAPA 02&gt;&gt;</w:t>
        <w:tab/>
        <w:tab/>
        <w:tab/>
        <w:t xml:space="preserve">…………………………………………….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 xml:space="preserve">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Integrante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&lt;&lt;ASESOR&gt;&gt;</w:t>
        <w:tab/>
        <w:tab/>
        <w:tab/>
        <w:tab/>
        <w:t xml:space="preserve">…………………………………………….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 xml:space="preserve">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&lt;&lt;SECRETARIO ETAPA 02&gt;&gt;</w:t>
        <w:tab/>
        <w:tab/>
        <w:tab/>
        <w:t xml:space="preserve">…………………………………………….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                                  </w:t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bookmarkStart w:colFirst="0" w:colLast="0" w:name="_obn34258d99g" w:id="1"/>
      <w:bookmarkEnd w:id="1"/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br w:type="textWrapping"/>
        <w:br w:type="textWrapping"/>
        <w:t xml:space="preserve">                                                                                                                           Arequipa, &lt;&lt;FECHA DE CONFORMIDAD&gt;&gt;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18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